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right w:val="nil"/>
        </w:tblBorders>
        <w:tblLayout w:type="fixed"/>
        <w:tblLook w:val="0000"/>
      </w:tblPr>
      <w:tblGrid>
        <w:gridCol w:w="13560"/>
        <w:gridCol w:w="13560"/>
        <w:gridCol w:w="4540"/>
        <w:gridCol w:w="128"/>
      </w:tblGrid>
      <w:tr w:rsidR="00137725" w:rsidRPr="00805434">
        <w:trPr>
          <w:gridAfter w:val="3"/>
          <w:wAfter w:w="1080" w:type="dxa"/>
        </w:trPr>
        <w:tc>
          <w:tcPr>
            <w:tcW w:w="13560" w:type="dxa"/>
          </w:tcPr>
          <w:p w:rsidR="00137725" w:rsidRPr="00805434" w:rsidRDefault="00137725">
            <w:pPr>
              <w:widowControl w:val="0"/>
              <w:autoSpaceDE w:val="0"/>
              <w:autoSpaceDN w:val="0"/>
              <w:adjustRightInd w:val="0"/>
              <w:spacing w:after="260" w:line="240" w:lineRule="auto"/>
              <w:rPr>
                <w:rFonts w:ascii="Arial" w:hAnsi="Arial" w:cs="Arial"/>
                <w:sz w:val="20"/>
                <w:szCs w:val="20"/>
              </w:rPr>
            </w:pPr>
          </w:p>
        </w:tc>
      </w:tr>
      <w:tr w:rsidR="00137725" w:rsidRPr="00805434">
        <w:tc>
          <w:tcPr>
            <w:tcW w:w="13560" w:type="dxa"/>
            <w:tcMar>
              <w:top w:w="140" w:type="nil"/>
              <w:right w:w="140" w:type="nil"/>
            </w:tcMar>
          </w:tcPr>
          <w:tbl>
            <w:tblPr>
              <w:tblW w:w="10946" w:type="dxa"/>
              <w:tblBorders>
                <w:top w:val="nil"/>
                <w:left w:val="nil"/>
                <w:right w:val="nil"/>
              </w:tblBorders>
              <w:tblLayout w:type="fixed"/>
              <w:tblLook w:val="0000"/>
            </w:tblPr>
            <w:tblGrid>
              <w:gridCol w:w="920"/>
              <w:gridCol w:w="460"/>
              <w:gridCol w:w="236"/>
              <w:gridCol w:w="9094"/>
              <w:gridCol w:w="236"/>
            </w:tblGrid>
            <w:tr w:rsidR="00137725" w:rsidRPr="00805434" w:rsidTr="00137725">
              <w:trPr>
                <w:gridAfter w:val="1"/>
                <w:wAfter w:w="236" w:type="dxa"/>
              </w:trPr>
              <w:tc>
                <w:tcPr>
                  <w:tcW w:w="10710" w:type="dxa"/>
                  <w:gridSpan w:val="4"/>
                  <w:tcMar>
                    <w:top w:w="140" w:type="nil"/>
                    <w:right w:w="140" w:type="nil"/>
                  </w:tcMar>
                </w:tcPr>
                <w:p w:rsidR="00137725" w:rsidRPr="00805434" w:rsidRDefault="00137725">
                  <w:pPr>
                    <w:widowControl w:val="0"/>
                    <w:autoSpaceDE w:val="0"/>
                    <w:autoSpaceDN w:val="0"/>
                    <w:adjustRightInd w:val="0"/>
                    <w:spacing w:after="260" w:line="240" w:lineRule="auto"/>
                    <w:rPr>
                      <w:rFonts w:ascii="Arial" w:hAnsi="Arial" w:cs="Arial"/>
                      <w:strike/>
                      <w:sz w:val="20"/>
                      <w:szCs w:val="20"/>
                    </w:rPr>
                  </w:pPr>
                  <w:r w:rsidRPr="00805434">
                    <w:rPr>
                      <w:rFonts w:ascii="Arial" w:hAnsi="Arial" w:cs="Arial"/>
                      <w:strike/>
                      <w:sz w:val="20"/>
                      <w:szCs w:val="20"/>
                    </w:rPr>
                    <w:t>Acceleration occurs when academic opportunities are provided that allow students to proceed more rapidly through the usual progression of required skills and objectives for a given grade level or course of study, to work above the assigned grade level, and/or to complete studies at an earlier age.</w:t>
                  </w:r>
                </w:p>
                <w:p w:rsidR="00137725" w:rsidRPr="00805434" w:rsidRDefault="00137725" w:rsidP="00137725">
                  <w:pPr>
                    <w:widowControl w:val="0"/>
                    <w:autoSpaceDE w:val="0"/>
                    <w:autoSpaceDN w:val="0"/>
                    <w:adjustRightInd w:val="0"/>
                    <w:spacing w:after="260" w:line="240" w:lineRule="auto"/>
                    <w:ind w:right="-108"/>
                    <w:rPr>
                      <w:rFonts w:ascii="Arial" w:hAnsi="Arial" w:cs="Arial"/>
                      <w:strike/>
                      <w:sz w:val="20"/>
                      <w:szCs w:val="20"/>
                    </w:rPr>
                  </w:pPr>
                  <w:r w:rsidRPr="00805434">
                    <w:rPr>
                      <w:rFonts w:ascii="Arial" w:hAnsi="Arial" w:cs="Arial"/>
                      <w:strike/>
                      <w:sz w:val="20"/>
                      <w:szCs w:val="20"/>
                    </w:rPr>
                    <w:t>The staff will support individual learners with acceleration opportunities when student performance demonstrates need. The School Based Committee for Gifted Education will conduct a thorough review of the student' classroom performance, work samples, grades over time and other portfolio evidence. The School Based Committee may recommend the student for content acceleration. The recommendation of the School Based Committee shall be presented to the parents and principal for approval.</w:t>
                  </w:r>
                </w:p>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strike/>
                      <w:sz w:val="20"/>
                      <w:szCs w:val="20"/>
                    </w:rPr>
                    <w:t>In grades 6-8, the State Board of Education allows students to receive graduation credit for high school mathematics, second language, science, and social studies courses, as well as English I, taken while the students are in middle school.  Students must achieve level III or IV on an EOC, if available, to meet that high school graduation requirement. High school courses taken in middle school will count toward graduation requirements, but the students? GPA will be computed with courses taken during the high school years only. Advancing or placing out of a particular course in a high school may award a credit toward high school graduation. Credits for high school graduation are based on approved instructional experiences, group or individual, in grades 9 through12 or through approved experiences at off-campus institutions. See State Board Policy GCS-M-001.</w:t>
                  </w:r>
                </w:p>
              </w:tc>
            </w:tr>
            <w:tr w:rsidR="00137725" w:rsidRPr="00805434" w:rsidTr="00137725">
              <w:tblPrEx>
                <w:tblBorders>
                  <w:top w:val="none" w:sz="0" w:space="0" w:color="auto"/>
                </w:tblBorders>
              </w:tblPrEx>
              <w:tc>
                <w:tcPr>
                  <w:tcW w:w="920" w:type="dxa"/>
                  <w:tcMar>
                    <w:top w:w="140" w:type="nil"/>
                    <w:right w:w="140" w:type="nil"/>
                  </w:tcMar>
                </w:tcPr>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b/>
                      <w:bCs/>
                      <w:strike/>
                      <w:sz w:val="20"/>
                      <w:szCs w:val="20"/>
                    </w:rPr>
                    <w:t>A.</w:t>
                  </w:r>
                </w:p>
              </w:tc>
              <w:tc>
                <w:tcPr>
                  <w:tcW w:w="9790" w:type="dxa"/>
                  <w:gridSpan w:val="3"/>
                  <w:tcMar>
                    <w:top w:w="140" w:type="nil"/>
                    <w:right w:w="140" w:type="nil"/>
                  </w:tcMar>
                </w:tcPr>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b/>
                      <w:bCs/>
                      <w:strike/>
                      <w:sz w:val="20"/>
                      <w:szCs w:val="20"/>
                    </w:rPr>
                    <w:t>Differentiated Learning Opportunities</w:t>
                  </w:r>
                </w:p>
              </w:tc>
              <w:tc>
                <w:tcPr>
                  <w:tcW w:w="236" w:type="dxa"/>
                  <w:tcMar>
                    <w:top w:w="140" w:type="nil"/>
                    <w:right w:w="140" w:type="nil"/>
                  </w:tcMar>
                </w:tcPr>
                <w:p w:rsidR="00137725" w:rsidRPr="00805434" w:rsidRDefault="00137725">
                  <w:pPr>
                    <w:widowControl w:val="0"/>
                    <w:autoSpaceDE w:val="0"/>
                    <w:autoSpaceDN w:val="0"/>
                    <w:adjustRightInd w:val="0"/>
                    <w:spacing w:after="0" w:line="240" w:lineRule="auto"/>
                    <w:jc w:val="right"/>
                    <w:rPr>
                      <w:rFonts w:ascii="Arial" w:hAnsi="Arial" w:cs="Arial"/>
                      <w:strike/>
                      <w:sz w:val="20"/>
                      <w:szCs w:val="20"/>
                    </w:rPr>
                  </w:pPr>
                  <w:r w:rsidRPr="00805434">
                    <w:rPr>
                      <w:rFonts w:ascii="Arial" w:hAnsi="Arial" w:cs="Arial"/>
                      <w:b/>
                      <w:bCs/>
                      <w:strike/>
                      <w:sz w:val="20"/>
                      <w:szCs w:val="20"/>
                    </w:rPr>
                    <w:t> </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260" w:line="240" w:lineRule="auto"/>
                    <w:rPr>
                      <w:rFonts w:ascii="Arial" w:hAnsi="Arial" w:cs="Arial"/>
                      <w:strike/>
                      <w:sz w:val="20"/>
                      <w:szCs w:val="20"/>
                    </w:rPr>
                  </w:pPr>
                  <w:r w:rsidRPr="00805434">
                    <w:rPr>
                      <w:rFonts w:ascii="Arial" w:hAnsi="Arial" w:cs="Arial"/>
                      <w:strike/>
                      <w:sz w:val="20"/>
                      <w:szCs w:val="20"/>
                    </w:rPr>
                    <w:t>1.</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Students shall be provided appropriate instruction that is differentiated to meet the varied needs, interests, and learning styles of students.</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260" w:line="240" w:lineRule="auto"/>
                    <w:rPr>
                      <w:rFonts w:ascii="Arial" w:hAnsi="Arial" w:cs="Arial"/>
                      <w:strike/>
                      <w:sz w:val="20"/>
                      <w:szCs w:val="20"/>
                    </w:rPr>
                  </w:pPr>
                  <w:r w:rsidRPr="00805434">
                    <w:rPr>
                      <w:rFonts w:ascii="Arial" w:hAnsi="Arial" w:cs="Arial"/>
                      <w:strike/>
                      <w:sz w:val="20"/>
                      <w:szCs w:val="20"/>
                    </w:rPr>
                    <w:t>2.</w:t>
                  </w:r>
                </w:p>
              </w:tc>
              <w:tc>
                <w:tcPr>
                  <w:tcW w:w="9094" w:type="dxa"/>
                  <w:tcMar>
                    <w:top w:w="140" w:type="nil"/>
                    <w:right w:w="140" w:type="nil"/>
                  </w:tcMar>
                </w:tcPr>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strike/>
                      <w:sz w:val="20"/>
                      <w:szCs w:val="20"/>
                    </w:rPr>
                    <w:t>Teachers consult with the school' Academically Gifted Resource Teacher and the School Based Committee for Gifted Education for support with gifted learners.</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b/>
                      <w:bCs/>
                      <w:strike/>
                      <w:sz w:val="20"/>
                      <w:szCs w:val="20"/>
                    </w:rPr>
                    <w:t>B.</w:t>
                  </w:r>
                </w:p>
              </w:tc>
              <w:tc>
                <w:tcPr>
                  <w:tcW w:w="9790" w:type="dxa"/>
                  <w:gridSpan w:val="3"/>
                  <w:tcMar>
                    <w:top w:w="140" w:type="nil"/>
                    <w:right w:w="140" w:type="nil"/>
                  </w:tcMar>
                </w:tcPr>
                <w:p w:rsidR="00137725" w:rsidRPr="00805434" w:rsidRDefault="00137725">
                  <w:pPr>
                    <w:widowControl w:val="0"/>
                    <w:autoSpaceDE w:val="0"/>
                    <w:autoSpaceDN w:val="0"/>
                    <w:adjustRightInd w:val="0"/>
                    <w:spacing w:after="320" w:line="240" w:lineRule="auto"/>
                    <w:rPr>
                      <w:rFonts w:ascii="Arial" w:hAnsi="Arial" w:cs="Arial"/>
                      <w:strike/>
                      <w:sz w:val="20"/>
                      <w:szCs w:val="20"/>
                    </w:rPr>
                  </w:pPr>
                  <w:r w:rsidRPr="00805434">
                    <w:rPr>
                      <w:rFonts w:ascii="Arial" w:hAnsi="Arial" w:cs="Arial"/>
                      <w:b/>
                      <w:bCs/>
                      <w:strike/>
                      <w:sz w:val="20"/>
                      <w:szCs w:val="20"/>
                    </w:rPr>
                    <w:t>Recommended forms of Accelerative Practice include:</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1.</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Early Entrance to Kindergarten</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2.</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Whole Grade Advancement</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3.</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Curriculum Compacting</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4.</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Grade Telescoping</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5.</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Subject Area Acceleration</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6.</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Cross-Grade Grouping</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7.</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Concurrent Enrollment for Content Area Needs</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8.</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Advanced Placement</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9.</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Mentorship</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10.</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NC Virtual Public School</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11.</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High school credit at the middle school level</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12.</w:t>
                  </w:r>
                </w:p>
              </w:tc>
              <w:tc>
                <w:tcPr>
                  <w:tcW w:w="9094" w:type="dxa"/>
                  <w:tcMar>
                    <w:top w:w="140" w:type="nil"/>
                    <w:right w:w="140" w:type="nil"/>
                  </w:tcMar>
                </w:tcPr>
                <w:p w:rsidR="00137725" w:rsidRPr="00805434" w:rsidRDefault="00137725">
                  <w:pPr>
                    <w:widowControl w:val="0"/>
                    <w:autoSpaceDE w:val="0"/>
                    <w:autoSpaceDN w:val="0"/>
                    <w:adjustRightInd w:val="0"/>
                    <w:spacing w:after="160" w:line="240" w:lineRule="auto"/>
                    <w:rPr>
                      <w:rFonts w:ascii="Arial" w:hAnsi="Arial" w:cs="Arial"/>
                      <w:strike/>
                      <w:sz w:val="20"/>
                      <w:szCs w:val="20"/>
                    </w:rPr>
                  </w:pPr>
                  <w:r w:rsidRPr="00805434">
                    <w:rPr>
                      <w:rFonts w:ascii="Arial" w:hAnsi="Arial" w:cs="Arial"/>
                      <w:strike/>
                      <w:sz w:val="20"/>
                      <w:szCs w:val="20"/>
                    </w:rPr>
                    <w:t>Dual Enrollment</w:t>
                  </w:r>
                </w:p>
              </w:tc>
            </w:tr>
            <w:tr w:rsidR="00137725" w:rsidRPr="00805434" w:rsidTr="00137725">
              <w:tblPrEx>
                <w:tblBorders>
                  <w:top w:val="none" w:sz="0" w:space="0" w:color="auto"/>
                </w:tblBorders>
              </w:tblPrEx>
              <w:trPr>
                <w:gridAfter w:val="1"/>
                <w:wAfter w:w="236" w:type="dxa"/>
              </w:trPr>
              <w:tc>
                <w:tcPr>
                  <w:tcW w:w="92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b/>
                      <w:bCs/>
                      <w:strike/>
                      <w:sz w:val="20"/>
                      <w:szCs w:val="20"/>
                    </w:rPr>
                    <w:t> </w:t>
                  </w:r>
                </w:p>
              </w:tc>
              <w:tc>
                <w:tcPr>
                  <w:tcW w:w="696" w:type="dxa"/>
                  <w:gridSpan w:val="2"/>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13.</w:t>
                  </w:r>
                </w:p>
              </w:tc>
              <w:tc>
                <w:tcPr>
                  <w:tcW w:w="9094"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trike/>
                      <w:sz w:val="20"/>
                      <w:szCs w:val="20"/>
                    </w:rPr>
                  </w:pPr>
                  <w:r w:rsidRPr="00805434">
                    <w:rPr>
                      <w:rFonts w:ascii="Arial" w:hAnsi="Arial" w:cs="Arial"/>
                      <w:strike/>
                      <w:sz w:val="20"/>
                      <w:szCs w:val="20"/>
                    </w:rPr>
                    <w:t>Early high school graduation and admission to college</w:t>
                  </w:r>
                </w:p>
              </w:tc>
            </w:tr>
            <w:tr w:rsidR="00137725" w:rsidRPr="00805434" w:rsidTr="00137725">
              <w:tc>
                <w:tcPr>
                  <w:tcW w:w="920" w:type="dxa"/>
                  <w:vAlign w:val="center"/>
                </w:tcPr>
                <w:p w:rsidR="00137725" w:rsidRPr="00805434" w:rsidRDefault="00137725">
                  <w:pPr>
                    <w:widowControl w:val="0"/>
                    <w:autoSpaceDE w:val="0"/>
                    <w:autoSpaceDN w:val="0"/>
                    <w:adjustRightInd w:val="0"/>
                    <w:spacing w:after="0" w:line="240" w:lineRule="auto"/>
                    <w:rPr>
                      <w:rFonts w:ascii="Arial" w:hAnsi="Arial" w:cs="Arial"/>
                      <w:strike/>
                      <w:sz w:val="20"/>
                      <w:szCs w:val="20"/>
                    </w:rPr>
                  </w:pPr>
                </w:p>
              </w:tc>
              <w:tc>
                <w:tcPr>
                  <w:tcW w:w="460" w:type="dxa"/>
                  <w:vAlign w:val="center"/>
                </w:tcPr>
                <w:p w:rsidR="00137725" w:rsidRPr="00805434" w:rsidRDefault="00137725">
                  <w:pPr>
                    <w:widowControl w:val="0"/>
                    <w:autoSpaceDE w:val="0"/>
                    <w:autoSpaceDN w:val="0"/>
                    <w:adjustRightInd w:val="0"/>
                    <w:spacing w:after="0" w:line="240" w:lineRule="auto"/>
                    <w:rPr>
                      <w:rFonts w:ascii="Arial" w:hAnsi="Arial" w:cs="Arial"/>
                      <w:strike/>
                      <w:sz w:val="20"/>
                      <w:szCs w:val="20"/>
                    </w:rPr>
                  </w:pPr>
                </w:p>
              </w:tc>
              <w:tc>
                <w:tcPr>
                  <w:tcW w:w="236" w:type="dxa"/>
                  <w:vAlign w:val="center"/>
                </w:tcPr>
                <w:p w:rsidR="00137725" w:rsidRPr="00805434" w:rsidRDefault="00137725">
                  <w:pPr>
                    <w:widowControl w:val="0"/>
                    <w:autoSpaceDE w:val="0"/>
                    <w:autoSpaceDN w:val="0"/>
                    <w:adjustRightInd w:val="0"/>
                    <w:spacing w:after="0" w:line="240" w:lineRule="auto"/>
                    <w:rPr>
                      <w:rFonts w:ascii="Arial" w:hAnsi="Arial" w:cs="Arial"/>
                      <w:strike/>
                      <w:sz w:val="20"/>
                      <w:szCs w:val="20"/>
                    </w:rPr>
                  </w:pPr>
                </w:p>
              </w:tc>
              <w:tc>
                <w:tcPr>
                  <w:tcW w:w="9094" w:type="dxa"/>
                  <w:vAlign w:val="center"/>
                </w:tcPr>
                <w:p w:rsidR="00137725" w:rsidRPr="00805434" w:rsidRDefault="00137725">
                  <w:pPr>
                    <w:widowControl w:val="0"/>
                    <w:autoSpaceDE w:val="0"/>
                    <w:autoSpaceDN w:val="0"/>
                    <w:adjustRightInd w:val="0"/>
                    <w:spacing w:after="0" w:line="240" w:lineRule="auto"/>
                    <w:rPr>
                      <w:rFonts w:ascii="Arial" w:hAnsi="Arial" w:cs="Arial"/>
                      <w:strike/>
                      <w:sz w:val="20"/>
                      <w:szCs w:val="20"/>
                    </w:rPr>
                  </w:pPr>
                </w:p>
              </w:tc>
              <w:tc>
                <w:tcPr>
                  <w:tcW w:w="236" w:type="dxa"/>
                  <w:vAlign w:val="center"/>
                </w:tcPr>
                <w:p w:rsidR="00137725" w:rsidRPr="00805434" w:rsidRDefault="00137725">
                  <w:pPr>
                    <w:widowControl w:val="0"/>
                    <w:autoSpaceDE w:val="0"/>
                    <w:autoSpaceDN w:val="0"/>
                    <w:adjustRightInd w:val="0"/>
                    <w:spacing w:after="0" w:line="240" w:lineRule="auto"/>
                    <w:rPr>
                      <w:rFonts w:ascii="Arial" w:hAnsi="Arial" w:cs="Arial"/>
                      <w:strike/>
                      <w:sz w:val="20"/>
                      <w:szCs w:val="20"/>
                    </w:rPr>
                  </w:pPr>
                </w:p>
              </w:tc>
            </w:tr>
          </w:tbl>
          <w:p w:rsidR="00E63B4F" w:rsidRPr="00805434" w:rsidRDefault="00E63B4F">
            <w:pPr>
              <w:widowControl w:val="0"/>
              <w:autoSpaceDE w:val="0"/>
              <w:autoSpaceDN w:val="0"/>
              <w:adjustRightInd w:val="0"/>
              <w:spacing w:after="0" w:line="240" w:lineRule="auto"/>
              <w:rPr>
                <w:rFonts w:ascii="Arial" w:hAnsi="Arial" w:cs="Arial"/>
                <w:sz w:val="20"/>
                <w:szCs w:val="20"/>
              </w:rPr>
            </w:pPr>
          </w:p>
          <w:p w:rsidR="00137725" w:rsidRPr="00805434" w:rsidRDefault="00137725">
            <w:pPr>
              <w:widowControl w:val="0"/>
              <w:autoSpaceDE w:val="0"/>
              <w:autoSpaceDN w:val="0"/>
              <w:adjustRightInd w:val="0"/>
              <w:spacing w:after="0" w:line="240" w:lineRule="auto"/>
              <w:rPr>
                <w:rFonts w:ascii="Arial" w:hAnsi="Arial" w:cs="Arial"/>
                <w:sz w:val="20"/>
                <w:szCs w:val="20"/>
              </w:rPr>
            </w:pPr>
            <w:r w:rsidRPr="00805434">
              <w:rPr>
                <w:rFonts w:ascii="Arial" w:hAnsi="Arial" w:cs="Arial"/>
                <w:sz w:val="20"/>
                <w:szCs w:val="20"/>
              </w:rPr>
              <w:lastRenderedPageBreak/>
              <w:t> </w:t>
            </w:r>
          </w:p>
        </w:tc>
        <w:tc>
          <w:tcPr>
            <w:tcW w:w="1356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z w:val="20"/>
                <w:szCs w:val="20"/>
              </w:rPr>
            </w:pPr>
          </w:p>
        </w:tc>
        <w:tc>
          <w:tcPr>
            <w:tcW w:w="1356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z w:val="20"/>
                <w:szCs w:val="20"/>
              </w:rPr>
            </w:pPr>
          </w:p>
        </w:tc>
        <w:tc>
          <w:tcPr>
            <w:tcW w:w="13560" w:type="dxa"/>
            <w:tcMar>
              <w:top w:w="140" w:type="nil"/>
              <w:right w:w="140" w:type="nil"/>
            </w:tcMar>
          </w:tcPr>
          <w:p w:rsidR="00137725" w:rsidRPr="00805434" w:rsidRDefault="00137725">
            <w:pPr>
              <w:widowControl w:val="0"/>
              <w:autoSpaceDE w:val="0"/>
              <w:autoSpaceDN w:val="0"/>
              <w:adjustRightInd w:val="0"/>
              <w:spacing w:after="0" w:line="240" w:lineRule="auto"/>
              <w:rPr>
                <w:rFonts w:ascii="Arial" w:hAnsi="Arial" w:cs="Arial"/>
                <w:sz w:val="20"/>
                <w:szCs w:val="20"/>
              </w:rPr>
            </w:pPr>
          </w:p>
        </w:tc>
      </w:tr>
    </w:tbl>
    <w:p w:rsidR="00A92E61" w:rsidRPr="00805434" w:rsidRDefault="00AD22D5" w:rsidP="00A92E61">
      <w:pPr>
        <w:widowControl w:val="0"/>
        <w:autoSpaceDE w:val="0"/>
        <w:autoSpaceDN w:val="0"/>
        <w:adjustRightInd w:val="0"/>
        <w:spacing w:after="240" w:line="240" w:lineRule="auto"/>
        <w:rPr>
          <w:rFonts w:ascii="Arial" w:hAnsi="Arial" w:cs="Arial"/>
          <w:sz w:val="20"/>
          <w:szCs w:val="20"/>
          <w:highlight w:val="yellow"/>
        </w:rPr>
      </w:pPr>
      <w:r>
        <w:rPr>
          <w:rFonts w:ascii="Arial" w:hAnsi="Arial" w:cs="Arial"/>
          <w:sz w:val="20"/>
          <w:szCs w:val="20"/>
          <w:highlight w:val="yellow"/>
        </w:rPr>
        <w:lastRenderedPageBreak/>
        <w:t>Academic acceleration is an empirically validated educational intervention for high –ability students (</w:t>
      </w:r>
      <w:proofErr w:type="spellStart"/>
      <w:r>
        <w:rPr>
          <w:rFonts w:ascii="Arial" w:hAnsi="Arial" w:cs="Arial"/>
          <w:sz w:val="20"/>
          <w:szCs w:val="20"/>
          <w:highlight w:val="yellow"/>
        </w:rPr>
        <w:t>Colangelo</w:t>
      </w:r>
      <w:proofErr w:type="spellEnd"/>
      <w:r>
        <w:rPr>
          <w:rFonts w:ascii="Arial" w:hAnsi="Arial" w:cs="Arial"/>
          <w:sz w:val="20"/>
          <w:szCs w:val="20"/>
          <w:highlight w:val="yellow"/>
        </w:rPr>
        <w:t xml:space="preserve">, </w:t>
      </w:r>
      <w:proofErr w:type="spellStart"/>
      <w:r>
        <w:rPr>
          <w:rFonts w:ascii="Arial" w:hAnsi="Arial" w:cs="Arial"/>
          <w:sz w:val="20"/>
          <w:szCs w:val="20"/>
          <w:highlight w:val="yellow"/>
        </w:rPr>
        <w:t>Assouline</w:t>
      </w:r>
      <w:proofErr w:type="spellEnd"/>
      <w:r>
        <w:rPr>
          <w:rFonts w:ascii="Arial" w:hAnsi="Arial" w:cs="Arial"/>
          <w:sz w:val="20"/>
          <w:szCs w:val="20"/>
          <w:highlight w:val="yellow"/>
        </w:rPr>
        <w:t xml:space="preserve">, &amp; Gross, 2004).  </w:t>
      </w:r>
      <w:r w:rsidR="00A92E61" w:rsidRPr="00805434">
        <w:rPr>
          <w:rFonts w:ascii="Arial" w:hAnsi="Arial" w:cs="Arial"/>
          <w:sz w:val="20"/>
          <w:szCs w:val="20"/>
          <w:highlight w:val="yellow"/>
        </w:rPr>
        <w:t>The National Association for Gifted Children defines acceleration (NAGC, 2004) as “allowing a student to move through traditional educational organizations more rapidly, based on readiness and motivation” (p. 1).</w:t>
      </w:r>
    </w:p>
    <w:p w:rsidR="00F17E9A" w:rsidRPr="00805434" w:rsidRDefault="00F17E9A" w:rsidP="00A92E61">
      <w:pPr>
        <w:widowControl w:val="0"/>
        <w:autoSpaceDE w:val="0"/>
        <w:autoSpaceDN w:val="0"/>
        <w:adjustRightInd w:val="0"/>
        <w:spacing w:after="240" w:line="240" w:lineRule="auto"/>
        <w:rPr>
          <w:rFonts w:ascii="Arial" w:hAnsi="Arial" w:cs="Arial"/>
          <w:sz w:val="20"/>
          <w:szCs w:val="20"/>
          <w:highlight w:val="yellow"/>
        </w:rPr>
      </w:pPr>
      <w:r w:rsidRPr="00805434">
        <w:rPr>
          <w:rFonts w:ascii="Arial" w:hAnsi="Arial" w:cs="Arial"/>
          <w:sz w:val="20"/>
          <w:szCs w:val="20"/>
          <w:highlight w:val="yellow"/>
        </w:rPr>
        <w:t xml:space="preserve">Acceleration and academic advancement allows any student to work above the assigned grade level, and/or to complete studies at an earlier age. </w:t>
      </w:r>
      <w:r w:rsidR="00A3552B" w:rsidRPr="00805434">
        <w:rPr>
          <w:rFonts w:ascii="Arial" w:hAnsi="Arial" w:cs="Arial"/>
          <w:sz w:val="20"/>
          <w:szCs w:val="20"/>
          <w:highlight w:val="yellow"/>
        </w:rPr>
        <w:t xml:space="preserve">WCPSS students may be nominated for participation in an accelerative practice </w:t>
      </w:r>
      <w:r w:rsidR="00172571" w:rsidRPr="00805434">
        <w:rPr>
          <w:rFonts w:ascii="Arial" w:hAnsi="Arial" w:cs="Arial"/>
          <w:sz w:val="20"/>
          <w:szCs w:val="20"/>
          <w:highlight w:val="yellow"/>
        </w:rPr>
        <w:t>b</w:t>
      </w:r>
      <w:r w:rsidR="00ED0812" w:rsidRPr="00805434">
        <w:rPr>
          <w:rFonts w:ascii="Arial" w:hAnsi="Arial" w:cs="Arial"/>
          <w:sz w:val="20"/>
          <w:szCs w:val="20"/>
          <w:highlight w:val="yellow"/>
        </w:rPr>
        <w:t xml:space="preserve">y a parent, teacher, or </w:t>
      </w:r>
      <w:r w:rsidR="00172571" w:rsidRPr="00805434">
        <w:rPr>
          <w:rFonts w:ascii="Arial" w:hAnsi="Arial" w:cs="Arial"/>
          <w:sz w:val="20"/>
          <w:szCs w:val="20"/>
          <w:highlight w:val="yellow"/>
        </w:rPr>
        <w:t>themselves.</w:t>
      </w:r>
      <w:r w:rsidR="00A3552B" w:rsidRPr="00805434">
        <w:rPr>
          <w:rFonts w:ascii="Arial" w:hAnsi="Arial" w:cs="Arial"/>
          <w:sz w:val="20"/>
          <w:szCs w:val="20"/>
          <w:highlight w:val="yellow"/>
        </w:rPr>
        <w:t xml:space="preserve"> </w:t>
      </w:r>
      <w:r w:rsidR="00FB29AB" w:rsidRPr="00805434">
        <w:rPr>
          <w:rFonts w:ascii="Arial" w:hAnsi="Arial" w:cs="Arial"/>
          <w:sz w:val="20"/>
          <w:szCs w:val="20"/>
          <w:highlight w:val="yellow"/>
        </w:rPr>
        <w:t xml:space="preserve"> </w:t>
      </w:r>
      <w:r w:rsidR="00CE66B6" w:rsidRPr="00805434">
        <w:rPr>
          <w:rFonts w:ascii="Arial" w:hAnsi="Arial" w:cs="Arial"/>
          <w:sz w:val="20"/>
          <w:szCs w:val="20"/>
          <w:highlight w:val="yellow"/>
        </w:rPr>
        <w:t>Acceleration</w:t>
      </w:r>
      <w:r w:rsidR="00A3552B" w:rsidRPr="00805434">
        <w:rPr>
          <w:rFonts w:ascii="Arial" w:hAnsi="Arial" w:cs="Arial"/>
          <w:sz w:val="20"/>
          <w:szCs w:val="20"/>
          <w:highlight w:val="yellow"/>
        </w:rPr>
        <w:t xml:space="preserve"> </w:t>
      </w:r>
      <w:r w:rsidR="0065083B" w:rsidRPr="00805434">
        <w:rPr>
          <w:rFonts w:ascii="Arial" w:hAnsi="Arial" w:cs="Arial"/>
          <w:sz w:val="20"/>
          <w:szCs w:val="20"/>
          <w:highlight w:val="yellow"/>
        </w:rPr>
        <w:t xml:space="preserve">opportunities are </w:t>
      </w:r>
      <w:r w:rsidR="00CE66B6" w:rsidRPr="00805434">
        <w:rPr>
          <w:rFonts w:ascii="Arial" w:hAnsi="Arial" w:cs="Arial"/>
          <w:sz w:val="20"/>
          <w:szCs w:val="20"/>
          <w:highlight w:val="yellow"/>
        </w:rPr>
        <w:t>provided</w:t>
      </w:r>
      <w:r w:rsidR="00C25ABA" w:rsidRPr="00805434">
        <w:rPr>
          <w:rFonts w:ascii="Arial" w:hAnsi="Arial" w:cs="Arial"/>
          <w:sz w:val="20"/>
          <w:szCs w:val="20"/>
          <w:highlight w:val="yellow"/>
        </w:rPr>
        <w:t xml:space="preserve"> </w:t>
      </w:r>
      <w:r w:rsidR="00ED77D1" w:rsidRPr="00805434">
        <w:rPr>
          <w:rFonts w:ascii="Arial" w:hAnsi="Arial" w:cs="Arial"/>
          <w:sz w:val="20"/>
          <w:szCs w:val="20"/>
          <w:highlight w:val="yellow"/>
        </w:rPr>
        <w:t xml:space="preserve">for any </w:t>
      </w:r>
      <w:r w:rsidR="00DE4E32" w:rsidRPr="00805434">
        <w:rPr>
          <w:rFonts w:ascii="Arial" w:hAnsi="Arial" w:cs="Arial"/>
          <w:sz w:val="20"/>
          <w:szCs w:val="20"/>
          <w:highlight w:val="yellow"/>
        </w:rPr>
        <w:t xml:space="preserve">K-12 </w:t>
      </w:r>
      <w:r w:rsidR="00ED77D1" w:rsidRPr="00805434">
        <w:rPr>
          <w:rFonts w:ascii="Arial" w:hAnsi="Arial" w:cs="Arial"/>
          <w:sz w:val="20"/>
          <w:szCs w:val="20"/>
          <w:highlight w:val="yellow"/>
        </w:rPr>
        <w:t>student</w:t>
      </w:r>
      <w:r w:rsidR="0065083B" w:rsidRPr="00805434">
        <w:rPr>
          <w:rFonts w:ascii="Arial" w:hAnsi="Arial" w:cs="Arial"/>
          <w:sz w:val="20"/>
          <w:szCs w:val="20"/>
          <w:highlight w:val="yellow"/>
        </w:rPr>
        <w:t xml:space="preserve"> who meets the requirements while </w:t>
      </w:r>
      <w:r w:rsidR="00FB29AB" w:rsidRPr="00805434">
        <w:rPr>
          <w:rFonts w:ascii="Arial" w:hAnsi="Arial" w:cs="Arial"/>
          <w:sz w:val="20"/>
          <w:szCs w:val="20"/>
          <w:highlight w:val="yellow"/>
        </w:rPr>
        <w:t xml:space="preserve">enrolled and attending </w:t>
      </w:r>
      <w:r w:rsidR="00172571" w:rsidRPr="00805434">
        <w:rPr>
          <w:rFonts w:ascii="Arial" w:hAnsi="Arial" w:cs="Arial"/>
          <w:sz w:val="20"/>
          <w:szCs w:val="20"/>
          <w:highlight w:val="yellow"/>
        </w:rPr>
        <w:t>a school in</w:t>
      </w:r>
      <w:r w:rsidR="00FB29AB" w:rsidRPr="00805434">
        <w:rPr>
          <w:rFonts w:ascii="Arial" w:hAnsi="Arial" w:cs="Arial"/>
          <w:sz w:val="20"/>
          <w:szCs w:val="20"/>
          <w:highlight w:val="yellow"/>
        </w:rPr>
        <w:t xml:space="preserve"> the Wake County Public School System (WCPSS)</w:t>
      </w:r>
      <w:r w:rsidR="0065083B" w:rsidRPr="00805434">
        <w:rPr>
          <w:rFonts w:ascii="Arial" w:hAnsi="Arial" w:cs="Arial"/>
          <w:sz w:val="20"/>
          <w:szCs w:val="20"/>
          <w:highlight w:val="yellow"/>
        </w:rPr>
        <w:t xml:space="preserve">.  Students are considered for accelerative opportunities </w:t>
      </w:r>
      <w:r w:rsidR="00ED77D1" w:rsidRPr="00805434">
        <w:rPr>
          <w:rFonts w:ascii="Arial" w:hAnsi="Arial" w:cs="Arial"/>
          <w:sz w:val="20"/>
          <w:szCs w:val="20"/>
          <w:highlight w:val="yellow"/>
        </w:rPr>
        <w:t xml:space="preserve">regardless of </w:t>
      </w:r>
      <w:r w:rsidRPr="00805434">
        <w:rPr>
          <w:rFonts w:ascii="Arial" w:hAnsi="Arial" w:cs="Arial"/>
          <w:sz w:val="20"/>
          <w:szCs w:val="20"/>
          <w:highlight w:val="yellow"/>
        </w:rPr>
        <w:t xml:space="preserve">age, </w:t>
      </w:r>
      <w:r w:rsidR="00ED77D1" w:rsidRPr="00805434">
        <w:rPr>
          <w:rFonts w:ascii="Arial" w:hAnsi="Arial" w:cs="Arial"/>
          <w:sz w:val="20"/>
          <w:szCs w:val="20"/>
          <w:highlight w:val="yellow"/>
        </w:rPr>
        <w:t xml:space="preserve">gender, race, ethnicity, </w:t>
      </w:r>
      <w:r w:rsidR="006E5C8C" w:rsidRPr="00805434">
        <w:rPr>
          <w:rFonts w:ascii="Arial" w:hAnsi="Arial" w:cs="Arial"/>
          <w:sz w:val="20"/>
          <w:szCs w:val="20"/>
          <w:highlight w:val="yellow"/>
        </w:rPr>
        <w:t xml:space="preserve">any specific </w:t>
      </w:r>
      <w:r w:rsidR="00FB29AB" w:rsidRPr="00805434">
        <w:rPr>
          <w:rFonts w:ascii="Arial" w:hAnsi="Arial" w:cs="Arial"/>
          <w:sz w:val="20"/>
          <w:szCs w:val="20"/>
          <w:highlight w:val="yellow"/>
        </w:rPr>
        <w:t xml:space="preserve">individual or program </w:t>
      </w:r>
      <w:r w:rsidR="006E5C8C" w:rsidRPr="00805434">
        <w:rPr>
          <w:rFonts w:ascii="Arial" w:hAnsi="Arial" w:cs="Arial"/>
          <w:sz w:val="20"/>
          <w:szCs w:val="20"/>
          <w:highlight w:val="yellow"/>
        </w:rPr>
        <w:t xml:space="preserve">identification, </w:t>
      </w:r>
      <w:r w:rsidR="00ED77D1" w:rsidRPr="00805434">
        <w:rPr>
          <w:rFonts w:ascii="Arial" w:hAnsi="Arial" w:cs="Arial"/>
          <w:sz w:val="20"/>
          <w:szCs w:val="20"/>
          <w:highlight w:val="yellow"/>
        </w:rPr>
        <w:t xml:space="preserve">disability status, socioeconomic status, </w:t>
      </w:r>
      <w:r w:rsidR="003E4F1D" w:rsidRPr="00805434">
        <w:rPr>
          <w:rFonts w:ascii="Arial" w:hAnsi="Arial" w:cs="Arial"/>
          <w:sz w:val="20"/>
          <w:szCs w:val="20"/>
          <w:highlight w:val="yellow"/>
        </w:rPr>
        <w:t xml:space="preserve">and/or </w:t>
      </w:r>
      <w:r w:rsidR="00ED77D1" w:rsidRPr="00805434">
        <w:rPr>
          <w:rFonts w:ascii="Arial" w:hAnsi="Arial" w:cs="Arial"/>
          <w:sz w:val="20"/>
          <w:szCs w:val="20"/>
          <w:highlight w:val="yellow"/>
        </w:rPr>
        <w:t>English language proficiency</w:t>
      </w:r>
      <w:r w:rsidR="0065083B" w:rsidRPr="00805434">
        <w:rPr>
          <w:rFonts w:ascii="Arial" w:hAnsi="Arial" w:cs="Arial"/>
          <w:sz w:val="20"/>
          <w:szCs w:val="20"/>
          <w:highlight w:val="yellow"/>
        </w:rPr>
        <w:t xml:space="preserve">, meeting the requirements. </w:t>
      </w:r>
      <w:r w:rsidR="00852FCF" w:rsidRPr="00805434">
        <w:rPr>
          <w:rFonts w:ascii="Arial" w:hAnsi="Arial" w:cs="Arial"/>
          <w:sz w:val="20"/>
          <w:szCs w:val="20"/>
          <w:highlight w:val="yellow"/>
        </w:rPr>
        <w:t xml:space="preserve">Participation in a school’s gifted program is not a prerequisite for consideration of any student for acceleration. </w:t>
      </w:r>
    </w:p>
    <w:p w:rsidR="00F70583" w:rsidRPr="00805434" w:rsidRDefault="00ED0812" w:rsidP="00AA5584">
      <w:pPr>
        <w:rPr>
          <w:rFonts w:ascii="Arial" w:hAnsi="Arial" w:cs="Arial"/>
          <w:sz w:val="20"/>
          <w:szCs w:val="20"/>
          <w:highlight w:val="yellow"/>
        </w:rPr>
      </w:pPr>
      <w:r w:rsidRPr="00805434">
        <w:rPr>
          <w:rFonts w:ascii="Arial" w:hAnsi="Arial" w:cs="Arial"/>
          <w:sz w:val="20"/>
          <w:szCs w:val="20"/>
          <w:highlight w:val="yellow"/>
        </w:rPr>
        <w:t>S</w:t>
      </w:r>
      <w:r w:rsidR="00C90B98" w:rsidRPr="00805434">
        <w:rPr>
          <w:rFonts w:ascii="Arial" w:hAnsi="Arial" w:cs="Arial"/>
          <w:sz w:val="20"/>
          <w:szCs w:val="20"/>
          <w:highlight w:val="yellow"/>
        </w:rPr>
        <w:t>tudent</w:t>
      </w:r>
      <w:r w:rsidRPr="00805434">
        <w:rPr>
          <w:rFonts w:ascii="Arial" w:hAnsi="Arial" w:cs="Arial"/>
          <w:sz w:val="20"/>
          <w:szCs w:val="20"/>
          <w:highlight w:val="yellow"/>
        </w:rPr>
        <w:t>s nominated</w:t>
      </w:r>
      <w:r w:rsidR="00C90B98" w:rsidRPr="00805434">
        <w:rPr>
          <w:rFonts w:ascii="Arial" w:hAnsi="Arial" w:cs="Arial"/>
          <w:sz w:val="20"/>
          <w:szCs w:val="20"/>
          <w:highlight w:val="yellow"/>
        </w:rPr>
        <w:t xml:space="preserve"> </w:t>
      </w:r>
      <w:r w:rsidRPr="00805434">
        <w:rPr>
          <w:rFonts w:ascii="Arial" w:hAnsi="Arial" w:cs="Arial"/>
          <w:sz w:val="20"/>
          <w:szCs w:val="20"/>
          <w:highlight w:val="yellow"/>
        </w:rPr>
        <w:t xml:space="preserve">for acceleration shall meet the criteria for </w:t>
      </w:r>
      <w:r w:rsidR="00C90B98" w:rsidRPr="00805434">
        <w:rPr>
          <w:rFonts w:ascii="Arial" w:hAnsi="Arial" w:cs="Arial"/>
          <w:sz w:val="20"/>
          <w:szCs w:val="20"/>
          <w:highlight w:val="yellow"/>
        </w:rPr>
        <w:t xml:space="preserve">acceleration </w:t>
      </w:r>
      <w:r w:rsidR="00FB29AB" w:rsidRPr="00805434">
        <w:rPr>
          <w:rFonts w:ascii="Arial" w:hAnsi="Arial" w:cs="Arial"/>
          <w:sz w:val="20"/>
          <w:szCs w:val="20"/>
          <w:highlight w:val="yellow"/>
        </w:rPr>
        <w:t>as established by the guidelines set forth by t</w:t>
      </w:r>
      <w:r w:rsidR="00172571" w:rsidRPr="00805434">
        <w:rPr>
          <w:rFonts w:ascii="Arial" w:hAnsi="Arial" w:cs="Arial"/>
          <w:sz w:val="20"/>
          <w:szCs w:val="20"/>
          <w:highlight w:val="yellow"/>
        </w:rPr>
        <w:t>he Local Education Agency (LEA).</w:t>
      </w:r>
      <w:r w:rsidR="006E5C8C" w:rsidRPr="00805434">
        <w:rPr>
          <w:rFonts w:ascii="Arial" w:hAnsi="Arial" w:cs="Arial"/>
          <w:sz w:val="20"/>
          <w:szCs w:val="20"/>
          <w:highlight w:val="yellow"/>
        </w:rPr>
        <w:t xml:space="preserve"> </w:t>
      </w:r>
      <w:r w:rsidR="00172571" w:rsidRPr="00805434">
        <w:rPr>
          <w:rFonts w:ascii="Arial" w:hAnsi="Arial" w:cs="Arial"/>
          <w:sz w:val="20"/>
          <w:szCs w:val="20"/>
          <w:highlight w:val="yellow"/>
        </w:rPr>
        <w:t xml:space="preserve"> </w:t>
      </w:r>
      <w:r w:rsidR="004F2DB8" w:rsidRPr="00805434">
        <w:rPr>
          <w:rFonts w:ascii="Arial" w:hAnsi="Arial" w:cs="Arial"/>
          <w:sz w:val="20"/>
          <w:szCs w:val="20"/>
          <w:highlight w:val="yellow"/>
        </w:rPr>
        <w:t>Time frame</w:t>
      </w:r>
      <w:r w:rsidR="0065083B" w:rsidRPr="00805434">
        <w:rPr>
          <w:rFonts w:ascii="Arial" w:hAnsi="Arial" w:cs="Arial"/>
          <w:sz w:val="20"/>
          <w:szCs w:val="20"/>
          <w:highlight w:val="yellow"/>
        </w:rPr>
        <w:t>,</w:t>
      </w:r>
      <w:r w:rsidR="004F2DB8" w:rsidRPr="00805434">
        <w:rPr>
          <w:rFonts w:ascii="Arial" w:hAnsi="Arial" w:cs="Arial"/>
          <w:sz w:val="20"/>
          <w:szCs w:val="20"/>
          <w:highlight w:val="yellow"/>
        </w:rPr>
        <w:t xml:space="preserve"> and data</w:t>
      </w:r>
      <w:r w:rsidR="0065083B" w:rsidRPr="00805434">
        <w:rPr>
          <w:rFonts w:ascii="Arial" w:hAnsi="Arial" w:cs="Arial"/>
          <w:sz w:val="20"/>
          <w:szCs w:val="20"/>
          <w:highlight w:val="yellow"/>
        </w:rPr>
        <w:t>,</w:t>
      </w:r>
      <w:r w:rsidR="00E80DF0" w:rsidRPr="00805434">
        <w:rPr>
          <w:rFonts w:ascii="Arial" w:hAnsi="Arial" w:cs="Arial"/>
          <w:sz w:val="20"/>
          <w:szCs w:val="20"/>
          <w:highlight w:val="yellow"/>
        </w:rPr>
        <w:t xml:space="preserve"> </w:t>
      </w:r>
      <w:proofErr w:type="gramStart"/>
      <w:r w:rsidR="00E80DF0" w:rsidRPr="00805434">
        <w:rPr>
          <w:rFonts w:ascii="Arial" w:hAnsi="Arial" w:cs="Arial"/>
          <w:sz w:val="20"/>
          <w:szCs w:val="20"/>
          <w:highlight w:val="yellow"/>
        </w:rPr>
        <w:t xml:space="preserve">needed </w:t>
      </w:r>
      <w:r w:rsidR="004F2DB8" w:rsidRPr="00805434">
        <w:rPr>
          <w:rFonts w:ascii="Arial" w:hAnsi="Arial" w:cs="Arial"/>
          <w:sz w:val="20"/>
          <w:szCs w:val="20"/>
          <w:highlight w:val="yellow"/>
        </w:rPr>
        <w:t>will</w:t>
      </w:r>
      <w:proofErr w:type="gramEnd"/>
      <w:r w:rsidR="004F2DB8" w:rsidRPr="00805434">
        <w:rPr>
          <w:rFonts w:ascii="Arial" w:hAnsi="Arial" w:cs="Arial"/>
          <w:sz w:val="20"/>
          <w:szCs w:val="20"/>
          <w:highlight w:val="yellow"/>
        </w:rPr>
        <w:t xml:space="preserve"> be detailed </w:t>
      </w:r>
      <w:r w:rsidR="000748FE" w:rsidRPr="00805434">
        <w:rPr>
          <w:rFonts w:ascii="Arial" w:hAnsi="Arial" w:cs="Arial"/>
          <w:sz w:val="20"/>
          <w:szCs w:val="20"/>
          <w:highlight w:val="yellow"/>
        </w:rPr>
        <w:t>within the WCPSS AIG plan</w:t>
      </w:r>
      <w:r w:rsidR="00C66463" w:rsidRPr="00805434">
        <w:rPr>
          <w:rFonts w:ascii="Arial" w:hAnsi="Arial" w:cs="Arial"/>
          <w:sz w:val="20"/>
          <w:szCs w:val="20"/>
          <w:highlight w:val="yellow"/>
        </w:rPr>
        <w:t xml:space="preserve">.  </w:t>
      </w:r>
      <w:r w:rsidR="00DE63E6" w:rsidRPr="00805434">
        <w:rPr>
          <w:rFonts w:ascii="Arial" w:hAnsi="Arial" w:cs="Arial"/>
          <w:sz w:val="20"/>
          <w:szCs w:val="20"/>
          <w:highlight w:val="yellow"/>
        </w:rPr>
        <w:t>The SBCGE</w:t>
      </w:r>
      <w:r w:rsidR="006E5C8C" w:rsidRPr="00805434">
        <w:rPr>
          <w:rFonts w:ascii="Arial" w:hAnsi="Arial" w:cs="Arial"/>
          <w:sz w:val="20"/>
          <w:szCs w:val="20"/>
          <w:highlight w:val="yellow"/>
        </w:rPr>
        <w:t>, not individuals</w:t>
      </w:r>
      <w:r w:rsidR="00172571" w:rsidRPr="00805434">
        <w:rPr>
          <w:rFonts w:ascii="Arial" w:hAnsi="Arial" w:cs="Arial"/>
          <w:sz w:val="20"/>
          <w:szCs w:val="20"/>
          <w:highlight w:val="yellow"/>
        </w:rPr>
        <w:t>,</w:t>
      </w:r>
      <w:r w:rsidR="006E5C8C" w:rsidRPr="00805434">
        <w:rPr>
          <w:rFonts w:ascii="Arial" w:hAnsi="Arial" w:cs="Arial"/>
          <w:sz w:val="20"/>
          <w:szCs w:val="20"/>
          <w:highlight w:val="yellow"/>
        </w:rPr>
        <w:t xml:space="preserve"> </w:t>
      </w:r>
      <w:r w:rsidR="00172571" w:rsidRPr="00805434">
        <w:rPr>
          <w:rFonts w:ascii="Arial" w:hAnsi="Arial" w:cs="Arial"/>
          <w:sz w:val="20"/>
          <w:szCs w:val="20"/>
          <w:highlight w:val="yellow"/>
        </w:rPr>
        <w:t xml:space="preserve">should make acceleration decisions </w:t>
      </w:r>
      <w:r w:rsidR="006E5C8C" w:rsidRPr="00805434">
        <w:rPr>
          <w:rFonts w:ascii="Arial" w:hAnsi="Arial" w:cs="Arial"/>
          <w:sz w:val="20"/>
          <w:szCs w:val="20"/>
          <w:highlight w:val="yellow"/>
        </w:rPr>
        <w:t xml:space="preserve">based upon </w:t>
      </w:r>
      <w:r w:rsidR="00172571" w:rsidRPr="00805434">
        <w:rPr>
          <w:rFonts w:ascii="Arial" w:hAnsi="Arial" w:cs="Arial"/>
          <w:sz w:val="20"/>
          <w:szCs w:val="20"/>
          <w:highlight w:val="yellow"/>
        </w:rPr>
        <w:t xml:space="preserve">student </w:t>
      </w:r>
      <w:r w:rsidR="006E5C8C" w:rsidRPr="00805434">
        <w:rPr>
          <w:rFonts w:ascii="Arial" w:hAnsi="Arial" w:cs="Arial"/>
          <w:sz w:val="20"/>
          <w:szCs w:val="20"/>
          <w:highlight w:val="yellow"/>
        </w:rPr>
        <w:t>d</w:t>
      </w:r>
      <w:r w:rsidR="00172571" w:rsidRPr="00805434">
        <w:rPr>
          <w:rFonts w:ascii="Arial" w:hAnsi="Arial" w:cs="Arial"/>
          <w:sz w:val="20"/>
          <w:szCs w:val="20"/>
          <w:highlight w:val="yellow"/>
        </w:rPr>
        <w:t>ata compiled at the school site</w:t>
      </w:r>
      <w:r w:rsidR="00C81E16" w:rsidRPr="00805434">
        <w:rPr>
          <w:rFonts w:ascii="Arial" w:hAnsi="Arial" w:cs="Arial"/>
          <w:sz w:val="20"/>
          <w:szCs w:val="20"/>
          <w:highlight w:val="yellow"/>
        </w:rPr>
        <w:t>.</w:t>
      </w:r>
      <w:r w:rsidR="000748FE" w:rsidRPr="00805434">
        <w:rPr>
          <w:rFonts w:ascii="Arial" w:hAnsi="Arial" w:cs="Arial"/>
          <w:sz w:val="20"/>
          <w:szCs w:val="20"/>
          <w:highlight w:val="yellow"/>
        </w:rPr>
        <w:t xml:space="preserve"> </w:t>
      </w:r>
      <w:r w:rsidR="00602AD9" w:rsidRPr="00805434">
        <w:rPr>
          <w:rFonts w:ascii="Arial" w:hAnsi="Arial" w:cs="Arial"/>
          <w:sz w:val="20"/>
          <w:szCs w:val="20"/>
          <w:highlight w:val="yellow"/>
        </w:rPr>
        <w:t>Membership in the School Based Committee for Gifted</w:t>
      </w:r>
      <w:r w:rsidR="00731616" w:rsidRPr="00805434">
        <w:rPr>
          <w:rFonts w:ascii="Arial" w:hAnsi="Arial" w:cs="Arial"/>
          <w:sz w:val="20"/>
          <w:szCs w:val="20"/>
          <w:highlight w:val="yellow"/>
        </w:rPr>
        <w:t xml:space="preserve"> Education (SBCGE) includes</w:t>
      </w:r>
      <w:r w:rsidR="00130F4D" w:rsidRPr="00805434">
        <w:rPr>
          <w:rFonts w:ascii="Arial" w:hAnsi="Arial" w:cs="Arial"/>
          <w:sz w:val="20"/>
          <w:szCs w:val="20"/>
          <w:highlight w:val="yellow"/>
        </w:rPr>
        <w:t xml:space="preserve"> staff members representative of cor</w:t>
      </w:r>
      <w:r w:rsidR="000748FE" w:rsidRPr="00805434">
        <w:rPr>
          <w:rFonts w:ascii="Arial" w:hAnsi="Arial" w:cs="Arial"/>
          <w:sz w:val="20"/>
          <w:szCs w:val="20"/>
          <w:highlight w:val="yellow"/>
        </w:rPr>
        <w:t>e content areas and grade</w:t>
      </w:r>
      <w:r w:rsidR="00130F4D" w:rsidRPr="00805434">
        <w:rPr>
          <w:rFonts w:ascii="Arial" w:hAnsi="Arial" w:cs="Arial"/>
          <w:sz w:val="20"/>
          <w:szCs w:val="20"/>
          <w:highlight w:val="yellow"/>
        </w:rPr>
        <w:t xml:space="preserve"> levels at the school as well as a school administrator and other school professionals as needed.  </w:t>
      </w:r>
      <w:r w:rsidR="000748FE" w:rsidRPr="00805434">
        <w:rPr>
          <w:rFonts w:ascii="Arial" w:hAnsi="Arial" w:cs="Arial"/>
          <w:sz w:val="20"/>
          <w:szCs w:val="20"/>
          <w:highlight w:val="yellow"/>
        </w:rPr>
        <w:t>A full description of S</w:t>
      </w:r>
      <w:r w:rsidR="00130F4D" w:rsidRPr="00805434">
        <w:rPr>
          <w:rFonts w:ascii="Arial" w:hAnsi="Arial" w:cs="Arial"/>
          <w:sz w:val="20"/>
          <w:szCs w:val="20"/>
          <w:highlight w:val="yellow"/>
        </w:rPr>
        <w:t>BCGE and membership is included in the AIG Parent Guide</w:t>
      </w:r>
      <w:r w:rsidR="00DE63E6" w:rsidRPr="00805434">
        <w:rPr>
          <w:rFonts w:ascii="Arial" w:hAnsi="Arial" w:cs="Arial"/>
          <w:sz w:val="20"/>
          <w:szCs w:val="20"/>
          <w:highlight w:val="yellow"/>
        </w:rPr>
        <w:t xml:space="preserve"> and AIG plan</w:t>
      </w:r>
      <w:r w:rsidR="00130F4D" w:rsidRPr="00805434">
        <w:rPr>
          <w:rFonts w:ascii="Arial" w:hAnsi="Arial" w:cs="Arial"/>
          <w:sz w:val="20"/>
          <w:szCs w:val="20"/>
          <w:highlight w:val="yellow"/>
        </w:rPr>
        <w:t xml:space="preserve">. </w:t>
      </w:r>
    </w:p>
    <w:p w:rsidR="00CE66B6" w:rsidRPr="00805434" w:rsidRDefault="00195B4F" w:rsidP="00AA5584">
      <w:pPr>
        <w:rPr>
          <w:rFonts w:ascii="Arial" w:hAnsi="Arial" w:cs="Arial"/>
          <w:sz w:val="20"/>
          <w:szCs w:val="20"/>
          <w:highlight w:val="yellow"/>
        </w:rPr>
      </w:pPr>
      <w:r w:rsidRPr="00805434">
        <w:rPr>
          <w:rFonts w:ascii="Arial" w:hAnsi="Arial" w:cs="Arial"/>
          <w:sz w:val="20"/>
          <w:szCs w:val="20"/>
          <w:highlight w:val="yellow"/>
        </w:rPr>
        <w:t xml:space="preserve">Based upon student </w:t>
      </w:r>
      <w:r w:rsidR="000748FE" w:rsidRPr="00805434">
        <w:rPr>
          <w:rFonts w:ascii="Arial" w:hAnsi="Arial" w:cs="Arial"/>
          <w:sz w:val="20"/>
          <w:szCs w:val="20"/>
          <w:highlight w:val="yellow"/>
        </w:rPr>
        <w:t>data collected, t</w:t>
      </w:r>
      <w:r w:rsidR="00C25ABA" w:rsidRPr="00805434">
        <w:rPr>
          <w:rFonts w:ascii="Arial" w:hAnsi="Arial" w:cs="Arial"/>
          <w:sz w:val="20"/>
          <w:szCs w:val="20"/>
          <w:highlight w:val="yellow"/>
        </w:rPr>
        <w:t xml:space="preserve">he </w:t>
      </w:r>
      <w:r w:rsidR="00DE63E6" w:rsidRPr="00805434">
        <w:rPr>
          <w:rFonts w:ascii="Arial" w:hAnsi="Arial" w:cs="Arial"/>
          <w:sz w:val="20"/>
          <w:szCs w:val="20"/>
          <w:highlight w:val="yellow"/>
        </w:rPr>
        <w:t>SBCGE</w:t>
      </w:r>
      <w:r w:rsidR="00172571" w:rsidRPr="00805434">
        <w:rPr>
          <w:rFonts w:ascii="Arial" w:hAnsi="Arial" w:cs="Arial"/>
          <w:sz w:val="20"/>
          <w:szCs w:val="20"/>
          <w:highlight w:val="yellow"/>
        </w:rPr>
        <w:t xml:space="preserve"> </w:t>
      </w:r>
      <w:r w:rsidR="00CE66B6" w:rsidRPr="00805434">
        <w:rPr>
          <w:rFonts w:ascii="Arial" w:hAnsi="Arial" w:cs="Arial"/>
          <w:sz w:val="20"/>
          <w:szCs w:val="20"/>
          <w:highlight w:val="yellow"/>
        </w:rPr>
        <w:t>may re</w:t>
      </w:r>
      <w:r w:rsidR="001D16FF" w:rsidRPr="00805434">
        <w:rPr>
          <w:rFonts w:ascii="Arial" w:hAnsi="Arial" w:cs="Arial"/>
          <w:sz w:val="20"/>
          <w:szCs w:val="20"/>
          <w:highlight w:val="yellow"/>
        </w:rPr>
        <w:t>commend the student for Content-based or Grade-based A</w:t>
      </w:r>
      <w:r w:rsidR="00CE66B6" w:rsidRPr="00805434">
        <w:rPr>
          <w:rFonts w:ascii="Arial" w:hAnsi="Arial" w:cs="Arial"/>
          <w:sz w:val="20"/>
          <w:szCs w:val="20"/>
          <w:highlight w:val="yellow"/>
        </w:rPr>
        <w:t>cceleration.  The recommendation of the School Based Committee</w:t>
      </w:r>
      <w:r w:rsidR="001D16FF" w:rsidRPr="00805434">
        <w:rPr>
          <w:rFonts w:ascii="Arial" w:hAnsi="Arial" w:cs="Arial"/>
          <w:sz w:val="20"/>
          <w:szCs w:val="20"/>
          <w:highlight w:val="yellow"/>
        </w:rPr>
        <w:t xml:space="preserve"> for Gifted Education</w:t>
      </w:r>
      <w:r w:rsidR="00CE66B6" w:rsidRPr="00805434">
        <w:rPr>
          <w:rFonts w:ascii="Arial" w:hAnsi="Arial" w:cs="Arial"/>
          <w:sz w:val="20"/>
          <w:szCs w:val="20"/>
          <w:highlight w:val="yellow"/>
        </w:rPr>
        <w:t xml:space="preserve"> s</w:t>
      </w:r>
      <w:r w:rsidR="00AA5584" w:rsidRPr="00805434">
        <w:rPr>
          <w:rFonts w:ascii="Arial" w:hAnsi="Arial" w:cs="Arial"/>
          <w:sz w:val="20"/>
          <w:szCs w:val="20"/>
          <w:highlight w:val="yellow"/>
        </w:rPr>
        <w:t>hall be presented to the parent/guardian</w:t>
      </w:r>
      <w:r w:rsidR="00CE66B6" w:rsidRPr="00805434">
        <w:rPr>
          <w:rFonts w:ascii="Arial" w:hAnsi="Arial" w:cs="Arial"/>
          <w:sz w:val="20"/>
          <w:szCs w:val="20"/>
          <w:highlight w:val="yellow"/>
        </w:rPr>
        <w:t xml:space="preserve"> and principal for approval.</w:t>
      </w:r>
      <w:r w:rsidR="00665DE0" w:rsidRPr="00805434">
        <w:rPr>
          <w:rFonts w:ascii="Arial" w:hAnsi="Arial" w:cs="Arial"/>
          <w:sz w:val="20"/>
          <w:szCs w:val="20"/>
          <w:highlight w:val="yellow"/>
        </w:rPr>
        <w:t xml:space="preserve">  Any appeal to an accelerative practice decision </w:t>
      </w:r>
      <w:r w:rsidR="000748FE" w:rsidRPr="00805434">
        <w:rPr>
          <w:rFonts w:ascii="Arial" w:hAnsi="Arial" w:cs="Arial"/>
          <w:sz w:val="20"/>
          <w:szCs w:val="20"/>
          <w:highlight w:val="yellow"/>
        </w:rPr>
        <w:t>should follow the Procedures to Resolve Disagreements</w:t>
      </w:r>
      <w:r w:rsidR="002E65E2" w:rsidRPr="00805434">
        <w:rPr>
          <w:rFonts w:ascii="Arial" w:hAnsi="Arial" w:cs="Arial"/>
          <w:sz w:val="20"/>
          <w:szCs w:val="20"/>
          <w:highlight w:val="yellow"/>
        </w:rPr>
        <w:t xml:space="preserve"> as outlined in the AIG Parent Guide. </w:t>
      </w:r>
      <w:r w:rsidR="004F2DB8" w:rsidRPr="00805434">
        <w:rPr>
          <w:rFonts w:ascii="Arial" w:hAnsi="Arial" w:cs="Arial"/>
          <w:sz w:val="20"/>
          <w:szCs w:val="20"/>
          <w:highlight w:val="yellow"/>
        </w:rPr>
        <w:t xml:space="preserve">  </w:t>
      </w:r>
    </w:p>
    <w:p w:rsidR="008D16E7" w:rsidRPr="00805434" w:rsidRDefault="00C87AAC" w:rsidP="00905B82">
      <w:pPr>
        <w:rPr>
          <w:rFonts w:ascii="Arial" w:hAnsi="Arial" w:cs="Arial"/>
          <w:sz w:val="20"/>
          <w:szCs w:val="20"/>
          <w:highlight w:val="yellow"/>
        </w:rPr>
      </w:pPr>
      <w:r w:rsidRPr="00805434">
        <w:rPr>
          <w:rFonts w:ascii="Arial" w:hAnsi="Arial" w:cs="Arial"/>
          <w:sz w:val="20"/>
          <w:szCs w:val="20"/>
          <w:highlight w:val="yellow"/>
        </w:rPr>
        <w:t>P</w:t>
      </w:r>
      <w:r w:rsidR="0065083B" w:rsidRPr="00805434">
        <w:rPr>
          <w:rFonts w:ascii="Arial" w:hAnsi="Arial" w:cs="Arial"/>
          <w:sz w:val="20"/>
          <w:szCs w:val="20"/>
          <w:highlight w:val="yellow"/>
        </w:rPr>
        <w:t xml:space="preserve">er </w:t>
      </w:r>
      <w:r w:rsidR="00195B4F" w:rsidRPr="00805434">
        <w:rPr>
          <w:rFonts w:ascii="Arial" w:hAnsi="Arial" w:cs="Arial"/>
          <w:sz w:val="20"/>
          <w:szCs w:val="20"/>
          <w:highlight w:val="yellow"/>
        </w:rPr>
        <w:t>Sate Board of Education policy</w:t>
      </w:r>
      <w:r w:rsidR="0065083B" w:rsidRPr="00805434">
        <w:rPr>
          <w:rFonts w:ascii="Arial" w:hAnsi="Arial" w:cs="Arial"/>
          <w:sz w:val="20"/>
          <w:szCs w:val="20"/>
          <w:highlight w:val="yellow"/>
        </w:rPr>
        <w:t xml:space="preserve"> (GCS-M-001</w:t>
      </w:r>
      <w:r w:rsidRPr="00805434">
        <w:rPr>
          <w:rFonts w:ascii="Arial" w:hAnsi="Arial" w:cs="Arial"/>
          <w:sz w:val="20"/>
          <w:szCs w:val="20"/>
          <w:highlight w:val="yellow"/>
        </w:rPr>
        <w:t>) o</w:t>
      </w:r>
      <w:r w:rsidR="00195B4F" w:rsidRPr="00805434">
        <w:rPr>
          <w:rFonts w:ascii="Arial" w:hAnsi="Arial" w:cs="Arial"/>
          <w:sz w:val="20"/>
          <w:szCs w:val="20"/>
          <w:highlight w:val="yellow"/>
        </w:rPr>
        <w:t xml:space="preserve">nly students in grades 6-8 are allowed </w:t>
      </w:r>
      <w:r w:rsidR="00CE66B6" w:rsidRPr="00805434">
        <w:rPr>
          <w:rFonts w:ascii="Arial" w:hAnsi="Arial" w:cs="Arial"/>
          <w:sz w:val="20"/>
          <w:szCs w:val="20"/>
          <w:highlight w:val="yellow"/>
        </w:rPr>
        <w:t xml:space="preserve">to receive graduation credit for high school mathematics, second language, science, and social studies courses, as well as English 1, taken while </w:t>
      </w:r>
      <w:r w:rsidR="00DB10CB" w:rsidRPr="00805434">
        <w:rPr>
          <w:rFonts w:ascii="Arial" w:hAnsi="Arial" w:cs="Arial"/>
          <w:sz w:val="20"/>
          <w:szCs w:val="20"/>
          <w:highlight w:val="yellow"/>
        </w:rPr>
        <w:t>a student is in middle school.  The student</w:t>
      </w:r>
      <w:r w:rsidR="00CE66B6" w:rsidRPr="00805434">
        <w:rPr>
          <w:rFonts w:ascii="Arial" w:hAnsi="Arial" w:cs="Arial"/>
          <w:sz w:val="20"/>
          <w:szCs w:val="20"/>
          <w:highlight w:val="yellow"/>
        </w:rPr>
        <w:t xml:space="preserve"> must achieve a level III or </w:t>
      </w:r>
      <w:r w:rsidR="00905B82" w:rsidRPr="00805434">
        <w:rPr>
          <w:rFonts w:ascii="Arial" w:hAnsi="Arial" w:cs="Arial"/>
          <w:sz w:val="20"/>
          <w:szCs w:val="20"/>
          <w:highlight w:val="yellow"/>
        </w:rPr>
        <w:t xml:space="preserve">level </w:t>
      </w:r>
      <w:r w:rsidR="00CE66B6" w:rsidRPr="00805434">
        <w:rPr>
          <w:rFonts w:ascii="Arial" w:hAnsi="Arial" w:cs="Arial"/>
          <w:sz w:val="20"/>
          <w:szCs w:val="20"/>
          <w:highlight w:val="yellow"/>
        </w:rPr>
        <w:t xml:space="preserve">IV on an </w:t>
      </w:r>
      <w:r w:rsidR="00DB10CB" w:rsidRPr="00805434">
        <w:rPr>
          <w:rFonts w:ascii="Arial" w:hAnsi="Arial" w:cs="Arial"/>
          <w:sz w:val="20"/>
          <w:szCs w:val="20"/>
          <w:highlight w:val="yellow"/>
        </w:rPr>
        <w:t xml:space="preserve">EOC, if available, to meet the </w:t>
      </w:r>
      <w:r w:rsidR="00CE66B6" w:rsidRPr="00805434">
        <w:rPr>
          <w:rFonts w:ascii="Arial" w:hAnsi="Arial" w:cs="Arial"/>
          <w:sz w:val="20"/>
          <w:szCs w:val="20"/>
          <w:highlight w:val="yellow"/>
        </w:rPr>
        <w:t xml:space="preserve">high school graduation requirement. </w:t>
      </w:r>
      <w:r w:rsidR="00DB10CB" w:rsidRPr="00805434">
        <w:rPr>
          <w:rFonts w:ascii="Arial" w:hAnsi="Arial" w:cs="Arial"/>
          <w:sz w:val="20"/>
          <w:szCs w:val="20"/>
          <w:highlight w:val="yellow"/>
        </w:rPr>
        <w:t>High school cour</w:t>
      </w:r>
      <w:r w:rsidR="00414A09" w:rsidRPr="00805434">
        <w:rPr>
          <w:rFonts w:ascii="Arial" w:hAnsi="Arial" w:cs="Arial"/>
          <w:sz w:val="20"/>
          <w:szCs w:val="20"/>
          <w:highlight w:val="yellow"/>
        </w:rPr>
        <w:t>ses</w:t>
      </w:r>
      <w:r w:rsidR="00DB10CB" w:rsidRPr="00805434">
        <w:rPr>
          <w:rFonts w:ascii="Arial" w:hAnsi="Arial" w:cs="Arial"/>
          <w:sz w:val="20"/>
          <w:szCs w:val="20"/>
          <w:highlight w:val="yellow"/>
        </w:rPr>
        <w:t xml:space="preserve"> taken in middle school may count toward graduation requirements,</w:t>
      </w:r>
      <w:r w:rsidR="006F674A" w:rsidRPr="00805434">
        <w:rPr>
          <w:rFonts w:ascii="Arial" w:hAnsi="Arial" w:cs="Arial"/>
          <w:sz w:val="20"/>
          <w:szCs w:val="20"/>
          <w:highlight w:val="yellow"/>
        </w:rPr>
        <w:t xml:space="preserve"> </w:t>
      </w:r>
      <w:r w:rsidR="00DB10CB" w:rsidRPr="00805434">
        <w:rPr>
          <w:rFonts w:ascii="Arial" w:hAnsi="Arial" w:cs="Arial"/>
          <w:sz w:val="20"/>
          <w:szCs w:val="20"/>
          <w:highlight w:val="yellow"/>
        </w:rPr>
        <w:t>but</w:t>
      </w:r>
      <w:r w:rsidR="006F674A" w:rsidRPr="00805434">
        <w:rPr>
          <w:rFonts w:ascii="Arial" w:hAnsi="Arial" w:cs="Arial"/>
          <w:sz w:val="20"/>
          <w:szCs w:val="20"/>
          <w:highlight w:val="yellow"/>
        </w:rPr>
        <w:t xml:space="preserve"> the grade earned</w:t>
      </w:r>
      <w:r w:rsidR="00DB10CB" w:rsidRPr="00805434">
        <w:rPr>
          <w:rFonts w:ascii="Arial" w:hAnsi="Arial" w:cs="Arial"/>
          <w:sz w:val="20"/>
          <w:szCs w:val="20"/>
          <w:highlight w:val="yellow"/>
        </w:rPr>
        <w:t xml:space="preserve"> will not be computed in the student’s Grade Point Average (GPA).</w:t>
      </w:r>
      <w:r w:rsidR="000748FE" w:rsidRPr="00805434">
        <w:rPr>
          <w:rFonts w:ascii="Arial" w:hAnsi="Arial" w:cs="Arial"/>
          <w:sz w:val="20"/>
          <w:szCs w:val="20"/>
          <w:highlight w:val="yellow"/>
        </w:rPr>
        <w:t xml:space="preserve">  </w:t>
      </w:r>
      <w:r w:rsidR="00CE66B6" w:rsidRPr="00805434">
        <w:rPr>
          <w:rFonts w:ascii="Arial" w:hAnsi="Arial" w:cs="Arial"/>
          <w:sz w:val="20"/>
          <w:szCs w:val="20"/>
          <w:highlight w:val="yellow"/>
        </w:rPr>
        <w:t xml:space="preserve">Credits for high school graduation are based </w:t>
      </w:r>
      <w:r w:rsidR="000748FE" w:rsidRPr="00805434">
        <w:rPr>
          <w:rFonts w:ascii="Arial" w:hAnsi="Arial" w:cs="Arial"/>
          <w:sz w:val="20"/>
          <w:szCs w:val="20"/>
          <w:highlight w:val="yellow"/>
        </w:rPr>
        <w:t>on</w:t>
      </w:r>
      <w:r w:rsidR="00CE66B6" w:rsidRPr="00805434">
        <w:rPr>
          <w:rFonts w:ascii="Arial" w:hAnsi="Arial" w:cs="Arial"/>
          <w:sz w:val="20"/>
          <w:szCs w:val="20"/>
          <w:highlight w:val="yellow"/>
        </w:rPr>
        <w:t xml:space="preserve"> approved instructional e</w:t>
      </w:r>
      <w:r w:rsidR="00CA717D" w:rsidRPr="00805434">
        <w:rPr>
          <w:rFonts w:ascii="Arial" w:hAnsi="Arial" w:cs="Arial"/>
          <w:sz w:val="20"/>
          <w:szCs w:val="20"/>
          <w:highlight w:val="yellow"/>
        </w:rPr>
        <w:t>xperiences</w:t>
      </w:r>
      <w:r w:rsidR="00D77307" w:rsidRPr="00805434">
        <w:rPr>
          <w:rFonts w:ascii="Arial" w:hAnsi="Arial" w:cs="Arial"/>
          <w:sz w:val="20"/>
          <w:szCs w:val="20"/>
          <w:highlight w:val="yellow"/>
        </w:rPr>
        <w:t>, group or individual</w:t>
      </w:r>
      <w:r w:rsidR="00CE66B6" w:rsidRPr="00805434">
        <w:rPr>
          <w:rFonts w:ascii="Arial" w:hAnsi="Arial" w:cs="Arial"/>
          <w:sz w:val="20"/>
          <w:szCs w:val="20"/>
          <w:highlight w:val="yellow"/>
        </w:rPr>
        <w:t xml:space="preserve"> in g</w:t>
      </w:r>
      <w:r w:rsidR="00CA717D" w:rsidRPr="00805434">
        <w:rPr>
          <w:rFonts w:ascii="Arial" w:hAnsi="Arial" w:cs="Arial"/>
          <w:sz w:val="20"/>
          <w:szCs w:val="20"/>
          <w:highlight w:val="yellow"/>
        </w:rPr>
        <w:t xml:space="preserve">rades </w:t>
      </w:r>
      <w:r w:rsidR="00ED0812" w:rsidRPr="00805434">
        <w:rPr>
          <w:rFonts w:ascii="Arial" w:hAnsi="Arial" w:cs="Arial"/>
          <w:sz w:val="20"/>
          <w:szCs w:val="20"/>
          <w:highlight w:val="yellow"/>
        </w:rPr>
        <w:t xml:space="preserve">9 </w:t>
      </w:r>
      <w:r w:rsidR="00CE66B6" w:rsidRPr="00805434">
        <w:rPr>
          <w:rFonts w:ascii="Arial" w:hAnsi="Arial" w:cs="Arial"/>
          <w:sz w:val="20"/>
          <w:szCs w:val="20"/>
          <w:highlight w:val="yellow"/>
        </w:rPr>
        <w:t>through</w:t>
      </w:r>
      <w:r w:rsidR="00CA717D" w:rsidRPr="00805434">
        <w:rPr>
          <w:rFonts w:ascii="Arial" w:hAnsi="Arial" w:cs="Arial"/>
          <w:sz w:val="20"/>
          <w:szCs w:val="20"/>
          <w:highlight w:val="yellow"/>
        </w:rPr>
        <w:t xml:space="preserve"> 12</w:t>
      </w:r>
      <w:r w:rsidRPr="00805434">
        <w:rPr>
          <w:rFonts w:ascii="Arial" w:hAnsi="Arial" w:cs="Arial"/>
          <w:sz w:val="20"/>
          <w:szCs w:val="20"/>
          <w:highlight w:val="yellow"/>
        </w:rPr>
        <w:t>.</w:t>
      </w:r>
    </w:p>
    <w:p w:rsidR="00CE66B6" w:rsidRPr="00805434" w:rsidRDefault="009C6F51" w:rsidP="00F81E82">
      <w:pPr>
        <w:pStyle w:val="ListParagraph"/>
        <w:numPr>
          <w:ilvl w:val="0"/>
          <w:numId w:val="1"/>
        </w:numPr>
        <w:spacing w:after="0" w:line="240" w:lineRule="auto"/>
        <w:rPr>
          <w:rFonts w:ascii="Arial" w:hAnsi="Arial" w:cs="Arial"/>
          <w:b/>
          <w:sz w:val="20"/>
          <w:szCs w:val="20"/>
          <w:highlight w:val="yellow"/>
        </w:rPr>
      </w:pPr>
      <w:r w:rsidRPr="00805434">
        <w:rPr>
          <w:rFonts w:ascii="Arial" w:hAnsi="Arial" w:cs="Arial"/>
          <w:b/>
          <w:sz w:val="20"/>
          <w:szCs w:val="20"/>
          <w:highlight w:val="yellow"/>
        </w:rPr>
        <w:t xml:space="preserve">Differentiated Learning Opportunities </w:t>
      </w:r>
    </w:p>
    <w:p w:rsidR="00ED77D1" w:rsidRPr="00805434" w:rsidRDefault="00ED77D1" w:rsidP="001015AE">
      <w:pPr>
        <w:spacing w:after="0" w:line="240" w:lineRule="auto"/>
        <w:ind w:left="360"/>
        <w:rPr>
          <w:rFonts w:ascii="Arial" w:hAnsi="Arial" w:cs="Arial"/>
          <w:b/>
          <w:sz w:val="20"/>
          <w:szCs w:val="20"/>
          <w:highlight w:val="yellow"/>
        </w:rPr>
      </w:pPr>
    </w:p>
    <w:p w:rsidR="00CE66B6" w:rsidRPr="00805434" w:rsidRDefault="001015AE" w:rsidP="001015AE">
      <w:pPr>
        <w:pStyle w:val="ListParagraph"/>
        <w:numPr>
          <w:ilvl w:val="1"/>
          <w:numId w:val="1"/>
        </w:numPr>
        <w:spacing w:after="0" w:line="240" w:lineRule="auto"/>
        <w:rPr>
          <w:rFonts w:ascii="Arial" w:hAnsi="Arial" w:cs="Arial"/>
          <w:sz w:val="20"/>
          <w:szCs w:val="20"/>
          <w:highlight w:val="yellow"/>
        </w:rPr>
      </w:pPr>
      <w:r w:rsidRPr="00805434">
        <w:rPr>
          <w:rFonts w:ascii="Arial" w:hAnsi="Arial" w:cs="Arial"/>
          <w:sz w:val="20"/>
          <w:szCs w:val="20"/>
          <w:highlight w:val="yellow"/>
        </w:rPr>
        <w:t xml:space="preserve">Any student </w:t>
      </w:r>
      <w:r w:rsidR="000748FE" w:rsidRPr="00805434">
        <w:rPr>
          <w:rFonts w:ascii="Arial" w:hAnsi="Arial" w:cs="Arial"/>
          <w:sz w:val="20"/>
          <w:szCs w:val="20"/>
          <w:highlight w:val="yellow"/>
        </w:rPr>
        <w:t xml:space="preserve">demonstrating need </w:t>
      </w:r>
      <w:r w:rsidRPr="00805434">
        <w:rPr>
          <w:rFonts w:ascii="Arial" w:hAnsi="Arial" w:cs="Arial"/>
          <w:sz w:val="20"/>
          <w:szCs w:val="20"/>
          <w:highlight w:val="yellow"/>
        </w:rPr>
        <w:t>should</w:t>
      </w:r>
      <w:r w:rsidR="00CE66B6" w:rsidRPr="00805434">
        <w:rPr>
          <w:rFonts w:ascii="Arial" w:hAnsi="Arial" w:cs="Arial"/>
          <w:sz w:val="20"/>
          <w:szCs w:val="20"/>
          <w:highlight w:val="yellow"/>
        </w:rPr>
        <w:t xml:space="preserve"> be provided appropriate</w:t>
      </w:r>
      <w:r w:rsidR="004A6E5B" w:rsidRPr="00805434">
        <w:rPr>
          <w:rFonts w:ascii="Arial" w:hAnsi="Arial" w:cs="Arial"/>
          <w:sz w:val="20"/>
          <w:szCs w:val="20"/>
          <w:highlight w:val="yellow"/>
        </w:rPr>
        <w:t>, differentiated</w:t>
      </w:r>
      <w:r w:rsidR="00CE66B6" w:rsidRPr="00805434">
        <w:rPr>
          <w:rFonts w:ascii="Arial" w:hAnsi="Arial" w:cs="Arial"/>
          <w:sz w:val="20"/>
          <w:szCs w:val="20"/>
          <w:highlight w:val="yellow"/>
        </w:rPr>
        <w:t xml:space="preserve"> in</w:t>
      </w:r>
      <w:r w:rsidR="004A6E5B" w:rsidRPr="00805434">
        <w:rPr>
          <w:rFonts w:ascii="Arial" w:hAnsi="Arial" w:cs="Arial"/>
          <w:sz w:val="20"/>
          <w:szCs w:val="20"/>
          <w:highlight w:val="yellow"/>
        </w:rPr>
        <w:t>struction</w:t>
      </w:r>
      <w:r w:rsidR="00CE66B6" w:rsidRPr="00805434">
        <w:rPr>
          <w:rFonts w:ascii="Arial" w:hAnsi="Arial" w:cs="Arial"/>
          <w:sz w:val="20"/>
          <w:szCs w:val="20"/>
          <w:highlight w:val="yellow"/>
        </w:rPr>
        <w:t xml:space="preserve"> to meet the varied needs, interests, and learning styles of </w:t>
      </w:r>
      <w:r w:rsidR="004A6E5B" w:rsidRPr="00805434">
        <w:rPr>
          <w:rFonts w:ascii="Arial" w:hAnsi="Arial" w:cs="Arial"/>
          <w:sz w:val="20"/>
          <w:szCs w:val="20"/>
          <w:highlight w:val="yellow"/>
        </w:rPr>
        <w:t>that</w:t>
      </w:r>
      <w:r w:rsidRPr="00805434">
        <w:rPr>
          <w:rFonts w:ascii="Arial" w:hAnsi="Arial" w:cs="Arial"/>
          <w:sz w:val="20"/>
          <w:szCs w:val="20"/>
          <w:highlight w:val="yellow"/>
        </w:rPr>
        <w:t xml:space="preserve"> individual </w:t>
      </w:r>
      <w:r w:rsidR="00CE66B6" w:rsidRPr="00805434">
        <w:rPr>
          <w:rFonts w:ascii="Arial" w:hAnsi="Arial" w:cs="Arial"/>
          <w:sz w:val="20"/>
          <w:szCs w:val="20"/>
          <w:highlight w:val="yellow"/>
        </w:rPr>
        <w:t>student.</w:t>
      </w:r>
      <w:r w:rsidR="004F2DB8" w:rsidRPr="00805434">
        <w:rPr>
          <w:rFonts w:ascii="Arial" w:hAnsi="Arial" w:cs="Arial"/>
          <w:sz w:val="20"/>
          <w:szCs w:val="20"/>
          <w:highlight w:val="yellow"/>
        </w:rPr>
        <w:t xml:space="preserve"> </w:t>
      </w:r>
      <w:r w:rsidR="000748FE" w:rsidRPr="00805434">
        <w:rPr>
          <w:rFonts w:ascii="Arial" w:hAnsi="Arial" w:cs="Arial"/>
          <w:sz w:val="20"/>
          <w:szCs w:val="20"/>
          <w:highlight w:val="yellow"/>
        </w:rPr>
        <w:t xml:space="preserve">  </w:t>
      </w:r>
    </w:p>
    <w:p w:rsidR="00ED0812" w:rsidRPr="00805434" w:rsidRDefault="00ED0812" w:rsidP="00ED0812">
      <w:pPr>
        <w:pStyle w:val="ListParagraph"/>
        <w:spacing w:after="0" w:line="240" w:lineRule="auto"/>
        <w:ind w:left="1440"/>
        <w:rPr>
          <w:rFonts w:ascii="Arial" w:hAnsi="Arial" w:cs="Arial"/>
          <w:sz w:val="20"/>
          <w:szCs w:val="20"/>
          <w:highlight w:val="yellow"/>
        </w:rPr>
      </w:pPr>
    </w:p>
    <w:p w:rsidR="002609FD" w:rsidRPr="001A674F" w:rsidRDefault="001015AE" w:rsidP="002609FD">
      <w:pPr>
        <w:pStyle w:val="ListParagraph"/>
        <w:numPr>
          <w:ilvl w:val="1"/>
          <w:numId w:val="1"/>
        </w:numPr>
        <w:spacing w:after="0" w:line="240" w:lineRule="auto"/>
        <w:rPr>
          <w:rFonts w:ascii="Arial" w:hAnsi="Arial" w:cs="Arial"/>
          <w:strike/>
          <w:sz w:val="20"/>
          <w:szCs w:val="20"/>
          <w:highlight w:val="yellow"/>
        </w:rPr>
      </w:pPr>
      <w:r w:rsidRPr="00805434">
        <w:rPr>
          <w:rFonts w:ascii="Arial" w:hAnsi="Arial" w:cs="Arial"/>
          <w:sz w:val="20"/>
          <w:szCs w:val="20"/>
          <w:highlight w:val="yellow"/>
        </w:rPr>
        <w:t xml:space="preserve">Teachers should </w:t>
      </w:r>
      <w:r w:rsidR="00CE66B6" w:rsidRPr="00805434">
        <w:rPr>
          <w:rFonts w:ascii="Arial" w:hAnsi="Arial" w:cs="Arial"/>
          <w:sz w:val="20"/>
          <w:szCs w:val="20"/>
          <w:highlight w:val="yellow"/>
        </w:rPr>
        <w:t>consult with the school’s Academically</w:t>
      </w:r>
      <w:r w:rsidRPr="00805434">
        <w:rPr>
          <w:rFonts w:ascii="Arial" w:hAnsi="Arial" w:cs="Arial"/>
          <w:sz w:val="20"/>
          <w:szCs w:val="20"/>
          <w:highlight w:val="yellow"/>
        </w:rPr>
        <w:t xml:space="preserve"> or </w:t>
      </w:r>
      <w:r w:rsidR="00CE66B6" w:rsidRPr="00805434">
        <w:rPr>
          <w:rFonts w:ascii="Arial" w:hAnsi="Arial" w:cs="Arial"/>
          <w:sz w:val="20"/>
          <w:szCs w:val="20"/>
          <w:highlight w:val="yellow"/>
        </w:rPr>
        <w:t>Intellectually Gifted</w:t>
      </w:r>
      <w:r w:rsidR="000252A9" w:rsidRPr="00805434">
        <w:rPr>
          <w:rFonts w:ascii="Arial" w:hAnsi="Arial" w:cs="Arial"/>
          <w:sz w:val="20"/>
          <w:szCs w:val="20"/>
          <w:highlight w:val="yellow"/>
        </w:rPr>
        <w:t xml:space="preserve"> (AIG)</w:t>
      </w:r>
      <w:r w:rsidR="00CE66B6" w:rsidRPr="00805434">
        <w:rPr>
          <w:rFonts w:ascii="Arial" w:hAnsi="Arial" w:cs="Arial"/>
          <w:sz w:val="20"/>
          <w:szCs w:val="20"/>
          <w:highlight w:val="yellow"/>
        </w:rPr>
        <w:t xml:space="preserve"> Teacher</w:t>
      </w:r>
      <w:r w:rsidR="000252A9" w:rsidRPr="00805434">
        <w:rPr>
          <w:rFonts w:ascii="Arial" w:hAnsi="Arial" w:cs="Arial"/>
          <w:sz w:val="20"/>
          <w:szCs w:val="20"/>
          <w:highlight w:val="yellow"/>
        </w:rPr>
        <w:t xml:space="preserve"> or AIG Coordinating Teacher</w:t>
      </w:r>
      <w:r w:rsidR="00CE66B6" w:rsidRPr="00805434">
        <w:rPr>
          <w:rFonts w:ascii="Arial" w:hAnsi="Arial" w:cs="Arial"/>
          <w:sz w:val="20"/>
          <w:szCs w:val="20"/>
          <w:highlight w:val="yellow"/>
        </w:rPr>
        <w:t xml:space="preserve"> </w:t>
      </w:r>
      <w:r w:rsidR="004F2DB8" w:rsidRPr="00805434">
        <w:rPr>
          <w:rFonts w:ascii="Arial" w:hAnsi="Arial" w:cs="Arial"/>
          <w:sz w:val="20"/>
          <w:szCs w:val="20"/>
          <w:highlight w:val="yellow"/>
        </w:rPr>
        <w:t xml:space="preserve">along with </w:t>
      </w:r>
      <w:r w:rsidR="00CE66B6" w:rsidRPr="00805434">
        <w:rPr>
          <w:rFonts w:ascii="Arial" w:hAnsi="Arial" w:cs="Arial"/>
          <w:sz w:val="20"/>
          <w:szCs w:val="20"/>
          <w:highlight w:val="yellow"/>
        </w:rPr>
        <w:t xml:space="preserve">the </w:t>
      </w:r>
      <w:r w:rsidRPr="00805434">
        <w:rPr>
          <w:rFonts w:ascii="Arial" w:hAnsi="Arial" w:cs="Arial"/>
          <w:sz w:val="20"/>
          <w:szCs w:val="20"/>
          <w:highlight w:val="yellow"/>
        </w:rPr>
        <w:t>SBCGE</w:t>
      </w:r>
      <w:r w:rsidR="00E61117" w:rsidRPr="00805434">
        <w:rPr>
          <w:rFonts w:ascii="Arial" w:hAnsi="Arial" w:cs="Arial"/>
          <w:sz w:val="20"/>
          <w:szCs w:val="20"/>
          <w:highlight w:val="yellow"/>
        </w:rPr>
        <w:t xml:space="preserve"> or school committee</w:t>
      </w:r>
      <w:r w:rsidRPr="00805434">
        <w:rPr>
          <w:rFonts w:ascii="Arial" w:hAnsi="Arial" w:cs="Arial"/>
          <w:sz w:val="20"/>
          <w:szCs w:val="20"/>
          <w:highlight w:val="yellow"/>
        </w:rPr>
        <w:t xml:space="preserve"> to support</w:t>
      </w:r>
      <w:r w:rsidR="00CE66B6" w:rsidRPr="00805434">
        <w:rPr>
          <w:rFonts w:ascii="Arial" w:hAnsi="Arial" w:cs="Arial"/>
          <w:sz w:val="20"/>
          <w:szCs w:val="20"/>
          <w:highlight w:val="yellow"/>
        </w:rPr>
        <w:t xml:space="preserve"> gifted</w:t>
      </w:r>
      <w:r w:rsidRPr="00805434">
        <w:rPr>
          <w:rFonts w:ascii="Arial" w:hAnsi="Arial" w:cs="Arial"/>
          <w:sz w:val="20"/>
          <w:szCs w:val="20"/>
          <w:highlight w:val="yellow"/>
        </w:rPr>
        <w:t xml:space="preserve"> and/or highly capable</w:t>
      </w:r>
      <w:r w:rsidR="00CE66B6" w:rsidRPr="00805434">
        <w:rPr>
          <w:rFonts w:ascii="Arial" w:hAnsi="Arial" w:cs="Arial"/>
          <w:sz w:val="20"/>
          <w:szCs w:val="20"/>
          <w:highlight w:val="yellow"/>
        </w:rPr>
        <w:t xml:space="preserve"> learners.</w:t>
      </w:r>
      <w:r w:rsidR="002609FD" w:rsidRPr="00805434">
        <w:rPr>
          <w:rFonts w:ascii="Arial" w:hAnsi="Arial" w:cs="Arial"/>
          <w:sz w:val="20"/>
          <w:szCs w:val="20"/>
          <w:highlight w:val="yellow"/>
        </w:rPr>
        <w:t xml:space="preserve">  </w:t>
      </w:r>
      <w:bookmarkStart w:id="0" w:name="_GoBack"/>
      <w:bookmarkEnd w:id="0"/>
    </w:p>
    <w:p w:rsidR="00CE66B6" w:rsidRPr="00805434" w:rsidRDefault="00CE66B6" w:rsidP="002609FD">
      <w:pPr>
        <w:pStyle w:val="ListParagraph"/>
        <w:spacing w:after="0" w:line="240" w:lineRule="auto"/>
        <w:ind w:left="1440"/>
        <w:rPr>
          <w:rFonts w:ascii="Arial" w:hAnsi="Arial" w:cs="Arial"/>
          <w:sz w:val="20"/>
          <w:szCs w:val="20"/>
          <w:highlight w:val="yellow"/>
        </w:rPr>
      </w:pPr>
    </w:p>
    <w:p w:rsidR="0029547F" w:rsidRPr="00805434" w:rsidRDefault="0029547F" w:rsidP="001015AE">
      <w:pPr>
        <w:pStyle w:val="ListParagraph"/>
        <w:numPr>
          <w:ilvl w:val="1"/>
          <w:numId w:val="1"/>
        </w:numPr>
        <w:spacing w:after="0" w:line="240" w:lineRule="auto"/>
        <w:rPr>
          <w:rFonts w:ascii="Arial" w:hAnsi="Arial" w:cs="Arial"/>
          <w:sz w:val="20"/>
          <w:szCs w:val="20"/>
          <w:highlight w:val="yellow"/>
        </w:rPr>
      </w:pPr>
      <w:r w:rsidRPr="00805434">
        <w:rPr>
          <w:rFonts w:ascii="Arial" w:hAnsi="Arial" w:cs="Arial"/>
          <w:sz w:val="20"/>
          <w:szCs w:val="20"/>
          <w:highlight w:val="yellow"/>
        </w:rPr>
        <w:t xml:space="preserve">There are </w:t>
      </w:r>
      <w:r w:rsidR="009C6F51" w:rsidRPr="00805434">
        <w:rPr>
          <w:rFonts w:ascii="Arial" w:hAnsi="Arial" w:cs="Arial"/>
          <w:sz w:val="20"/>
          <w:szCs w:val="20"/>
          <w:highlight w:val="yellow"/>
        </w:rPr>
        <w:t>two categories for acceleration; Content-based and Grade-based.</w:t>
      </w:r>
      <w:r w:rsidR="000252A9" w:rsidRPr="00805434">
        <w:rPr>
          <w:rFonts w:ascii="Arial" w:hAnsi="Arial" w:cs="Arial"/>
          <w:sz w:val="20"/>
          <w:szCs w:val="20"/>
          <w:highlight w:val="yellow"/>
        </w:rPr>
        <w:t xml:space="preserve"> The distinguishing feature between the two categories is whether the accelerative intervention </w:t>
      </w:r>
      <w:r w:rsidRPr="00805434">
        <w:rPr>
          <w:rFonts w:ascii="Arial" w:hAnsi="Arial" w:cs="Arial"/>
          <w:sz w:val="20"/>
          <w:szCs w:val="20"/>
          <w:highlight w:val="yellow"/>
        </w:rPr>
        <w:t xml:space="preserve">shortens the number of years that a student spends in the </w:t>
      </w:r>
      <w:r w:rsidR="000252A9" w:rsidRPr="00805434">
        <w:rPr>
          <w:rFonts w:ascii="Arial" w:hAnsi="Arial" w:cs="Arial"/>
          <w:sz w:val="20"/>
          <w:szCs w:val="20"/>
          <w:highlight w:val="yellow"/>
        </w:rPr>
        <w:t xml:space="preserve">K-12 </w:t>
      </w:r>
      <w:r w:rsidRPr="00805434">
        <w:rPr>
          <w:rFonts w:ascii="Arial" w:hAnsi="Arial" w:cs="Arial"/>
          <w:sz w:val="20"/>
          <w:szCs w:val="20"/>
          <w:highlight w:val="yellow"/>
        </w:rPr>
        <w:t xml:space="preserve">system. </w:t>
      </w:r>
    </w:p>
    <w:p w:rsidR="0029547F" w:rsidRPr="00805434" w:rsidRDefault="0029547F" w:rsidP="0029547F">
      <w:pPr>
        <w:spacing w:after="0" w:line="240" w:lineRule="auto"/>
        <w:ind w:left="1980"/>
        <w:rPr>
          <w:rFonts w:ascii="Arial" w:hAnsi="Arial" w:cs="Arial"/>
          <w:sz w:val="20"/>
          <w:szCs w:val="20"/>
          <w:highlight w:val="yellow"/>
        </w:rPr>
      </w:pPr>
    </w:p>
    <w:p w:rsidR="0029547F" w:rsidRPr="00805434" w:rsidRDefault="00F35CBA" w:rsidP="00E878FC">
      <w:pPr>
        <w:pStyle w:val="ListParagraph"/>
        <w:spacing w:after="0"/>
        <w:ind w:left="2160"/>
        <w:rPr>
          <w:rFonts w:ascii="Arial" w:hAnsi="Arial" w:cs="Arial"/>
          <w:sz w:val="20"/>
          <w:szCs w:val="20"/>
          <w:highlight w:val="yellow"/>
        </w:rPr>
      </w:pPr>
      <w:r w:rsidRPr="00805434">
        <w:rPr>
          <w:rFonts w:ascii="Arial" w:hAnsi="Arial" w:cs="Arial"/>
          <w:sz w:val="20"/>
          <w:szCs w:val="20"/>
          <w:highlight w:val="yellow"/>
        </w:rPr>
        <w:t xml:space="preserve">a. </w:t>
      </w:r>
      <w:r w:rsidRPr="00805434">
        <w:rPr>
          <w:rFonts w:ascii="Arial" w:hAnsi="Arial" w:cs="Arial"/>
          <w:b/>
          <w:sz w:val="20"/>
          <w:szCs w:val="20"/>
          <w:highlight w:val="yellow"/>
        </w:rPr>
        <w:t>Content</w:t>
      </w:r>
      <w:r w:rsidR="0029547F" w:rsidRPr="00805434">
        <w:rPr>
          <w:rFonts w:ascii="Arial" w:hAnsi="Arial" w:cs="Arial"/>
          <w:b/>
          <w:sz w:val="20"/>
          <w:szCs w:val="20"/>
          <w:highlight w:val="yellow"/>
        </w:rPr>
        <w:t>-based Acceleration</w:t>
      </w:r>
      <w:r w:rsidR="0068134F" w:rsidRPr="00805434">
        <w:rPr>
          <w:rFonts w:ascii="Arial" w:hAnsi="Arial" w:cs="Arial"/>
          <w:sz w:val="20"/>
          <w:szCs w:val="20"/>
          <w:highlight w:val="yellow"/>
        </w:rPr>
        <w:t xml:space="preserve"> typically allows a </w:t>
      </w:r>
      <w:r w:rsidR="003C466B" w:rsidRPr="00805434">
        <w:rPr>
          <w:rFonts w:ascii="Arial" w:hAnsi="Arial" w:cs="Arial"/>
          <w:sz w:val="20"/>
          <w:szCs w:val="20"/>
          <w:highlight w:val="yellow"/>
        </w:rPr>
        <w:t xml:space="preserve">student to remain with peers of the same age and grade for a most/majority of the school day but receive </w:t>
      </w:r>
      <w:r w:rsidR="003C466B" w:rsidRPr="00805434">
        <w:rPr>
          <w:rFonts w:ascii="Arial" w:hAnsi="Arial" w:cs="Arial"/>
          <w:sz w:val="20"/>
          <w:szCs w:val="20"/>
          <w:highlight w:val="yellow"/>
        </w:rPr>
        <w:lastRenderedPageBreak/>
        <w:t>higher grade-level instruction in an advanced grade. Content-based acceleration can also refer to allowing a student to work on higher grade-level instruction in his regular classroom in lieu of grade-level instruction.</w:t>
      </w:r>
      <w:r w:rsidR="0029547F" w:rsidRPr="00805434">
        <w:rPr>
          <w:rFonts w:ascii="Arial" w:hAnsi="Arial" w:cs="Arial"/>
          <w:sz w:val="20"/>
          <w:szCs w:val="20"/>
          <w:highlight w:val="yellow"/>
        </w:rPr>
        <w:t xml:space="preserve"> </w:t>
      </w:r>
    </w:p>
    <w:p w:rsidR="00923D4A" w:rsidRPr="00805434" w:rsidRDefault="00923D4A" w:rsidP="00923D4A">
      <w:pPr>
        <w:spacing w:after="0" w:line="240" w:lineRule="auto"/>
        <w:ind w:left="1980"/>
        <w:rPr>
          <w:rFonts w:ascii="Arial" w:hAnsi="Arial" w:cs="Arial"/>
          <w:sz w:val="20"/>
          <w:szCs w:val="20"/>
          <w:highlight w:val="yellow"/>
        </w:rPr>
      </w:pPr>
    </w:p>
    <w:p w:rsidR="00923D4A" w:rsidRPr="00805434" w:rsidRDefault="00F35CBA" w:rsidP="00DF53DA">
      <w:pPr>
        <w:pStyle w:val="ListParagraph"/>
        <w:spacing w:after="0" w:line="240" w:lineRule="auto"/>
        <w:ind w:left="2160"/>
        <w:rPr>
          <w:rFonts w:ascii="Arial" w:hAnsi="Arial" w:cs="Arial"/>
          <w:sz w:val="20"/>
          <w:szCs w:val="20"/>
          <w:highlight w:val="yellow"/>
        </w:rPr>
      </w:pPr>
      <w:r w:rsidRPr="00805434">
        <w:rPr>
          <w:rFonts w:ascii="Arial" w:hAnsi="Arial" w:cs="Arial"/>
          <w:sz w:val="20"/>
          <w:szCs w:val="20"/>
          <w:highlight w:val="yellow"/>
        </w:rPr>
        <w:t>b</w:t>
      </w:r>
      <w:r w:rsidRPr="00805434">
        <w:rPr>
          <w:rFonts w:ascii="Arial" w:hAnsi="Arial" w:cs="Arial"/>
          <w:b/>
          <w:sz w:val="20"/>
          <w:szCs w:val="20"/>
          <w:highlight w:val="yellow"/>
        </w:rPr>
        <w:t xml:space="preserve">.  </w:t>
      </w:r>
      <w:r w:rsidR="0029547F" w:rsidRPr="00805434">
        <w:rPr>
          <w:rFonts w:ascii="Arial" w:hAnsi="Arial" w:cs="Arial"/>
          <w:b/>
          <w:sz w:val="20"/>
          <w:szCs w:val="20"/>
          <w:highlight w:val="yellow"/>
        </w:rPr>
        <w:t>Grade-based Acceleration</w:t>
      </w:r>
      <w:r w:rsidR="0029547F" w:rsidRPr="00805434">
        <w:rPr>
          <w:rFonts w:ascii="Arial" w:hAnsi="Arial" w:cs="Arial"/>
          <w:sz w:val="20"/>
          <w:szCs w:val="20"/>
          <w:highlight w:val="yellow"/>
        </w:rPr>
        <w:t xml:space="preserve"> includes strategies that typically shorten the number of years a student spends in the K-12 system. </w:t>
      </w:r>
      <w:r w:rsidR="00923D4A" w:rsidRPr="00805434">
        <w:rPr>
          <w:rFonts w:ascii="Arial" w:hAnsi="Arial" w:cs="Arial"/>
          <w:sz w:val="20"/>
          <w:szCs w:val="20"/>
          <w:highlight w:val="yellow"/>
        </w:rPr>
        <w:t xml:space="preserve"> A student is placed in a </w:t>
      </w:r>
      <w:r w:rsidR="000538BE" w:rsidRPr="00805434">
        <w:rPr>
          <w:rFonts w:ascii="Arial" w:hAnsi="Arial" w:cs="Arial"/>
          <w:sz w:val="20"/>
          <w:szCs w:val="20"/>
          <w:highlight w:val="yellow"/>
        </w:rPr>
        <w:t>higher-grade</w:t>
      </w:r>
      <w:r w:rsidR="00923D4A" w:rsidRPr="00805434">
        <w:rPr>
          <w:rFonts w:ascii="Arial" w:hAnsi="Arial" w:cs="Arial"/>
          <w:sz w:val="20"/>
          <w:szCs w:val="20"/>
          <w:highlight w:val="yellow"/>
        </w:rPr>
        <w:t xml:space="preserve"> level than is typically given for the student’s age on a full time basis for the purpose of providing access to appropriately challenging learning opportunities.</w:t>
      </w:r>
    </w:p>
    <w:p w:rsidR="003C466B" w:rsidRPr="00805434" w:rsidRDefault="003C466B" w:rsidP="00E878FC">
      <w:pPr>
        <w:spacing w:after="0" w:line="240" w:lineRule="auto"/>
        <w:rPr>
          <w:rFonts w:ascii="Arial" w:hAnsi="Arial" w:cs="Arial"/>
          <w:b/>
          <w:sz w:val="20"/>
          <w:szCs w:val="20"/>
          <w:highlight w:val="yellow"/>
        </w:rPr>
      </w:pPr>
    </w:p>
    <w:p w:rsidR="00CE66B6" w:rsidRPr="00805434" w:rsidRDefault="00CB4A3B" w:rsidP="00923D4A">
      <w:pPr>
        <w:pStyle w:val="ListParagraph"/>
        <w:numPr>
          <w:ilvl w:val="0"/>
          <w:numId w:val="2"/>
        </w:numPr>
        <w:spacing w:after="0" w:line="240" w:lineRule="auto"/>
        <w:rPr>
          <w:rFonts w:ascii="Arial" w:hAnsi="Arial" w:cs="Arial"/>
          <w:b/>
          <w:sz w:val="20"/>
          <w:szCs w:val="20"/>
          <w:highlight w:val="yellow"/>
        </w:rPr>
      </w:pPr>
      <w:r w:rsidRPr="00805434">
        <w:rPr>
          <w:rFonts w:ascii="Arial" w:hAnsi="Arial" w:cs="Arial"/>
          <w:b/>
          <w:sz w:val="20"/>
          <w:szCs w:val="20"/>
          <w:highlight w:val="yellow"/>
        </w:rPr>
        <w:t>Fr</w:t>
      </w:r>
      <w:r w:rsidR="000252A9" w:rsidRPr="00805434">
        <w:rPr>
          <w:rFonts w:ascii="Arial" w:hAnsi="Arial" w:cs="Arial"/>
          <w:b/>
          <w:sz w:val="20"/>
          <w:szCs w:val="20"/>
          <w:highlight w:val="yellow"/>
        </w:rPr>
        <w:t>amework for Accelerative</w:t>
      </w:r>
      <w:r w:rsidR="0029547F" w:rsidRPr="00805434">
        <w:rPr>
          <w:rFonts w:ascii="Arial" w:hAnsi="Arial" w:cs="Arial"/>
          <w:b/>
          <w:sz w:val="20"/>
          <w:szCs w:val="20"/>
          <w:highlight w:val="yellow"/>
        </w:rPr>
        <w:t xml:space="preserve"> Practices  </w:t>
      </w:r>
    </w:p>
    <w:p w:rsidR="00CB4A3B" w:rsidRPr="00805434" w:rsidRDefault="00CB4A3B" w:rsidP="00CB4A3B">
      <w:pPr>
        <w:spacing w:after="0" w:line="240" w:lineRule="auto"/>
        <w:ind w:left="360" w:firstLine="360"/>
        <w:rPr>
          <w:rFonts w:ascii="Arial" w:hAnsi="Arial" w:cs="Arial"/>
          <w:b/>
          <w:sz w:val="20"/>
          <w:szCs w:val="20"/>
          <w:highlight w:val="yellow"/>
        </w:rPr>
      </w:pPr>
    </w:p>
    <w:p w:rsidR="003556E9" w:rsidRPr="00805434" w:rsidRDefault="00CB4A3B" w:rsidP="00E878FC">
      <w:pPr>
        <w:pStyle w:val="ListParagraph"/>
        <w:numPr>
          <w:ilvl w:val="0"/>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Content-based Acceleration</w:t>
      </w:r>
    </w:p>
    <w:p w:rsidR="00141FC2" w:rsidRPr="00805434" w:rsidRDefault="00CC2F91" w:rsidP="00A53719">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Curriculum Compacting</w:t>
      </w:r>
      <w:r w:rsidR="00B46F4C" w:rsidRPr="00805434">
        <w:rPr>
          <w:rFonts w:ascii="Arial" w:hAnsi="Arial" w:cs="Arial"/>
          <w:b/>
          <w:sz w:val="20"/>
          <w:szCs w:val="20"/>
          <w:highlight w:val="yellow"/>
        </w:rPr>
        <w:t xml:space="preserve"> (K-12)</w:t>
      </w:r>
      <w:r w:rsidRPr="00805434">
        <w:rPr>
          <w:rFonts w:ascii="Arial" w:hAnsi="Arial" w:cs="Arial"/>
          <w:b/>
          <w:sz w:val="20"/>
          <w:szCs w:val="20"/>
          <w:highlight w:val="yellow"/>
        </w:rPr>
        <w:t xml:space="preserve">: </w:t>
      </w:r>
      <w:r w:rsidRPr="00805434">
        <w:rPr>
          <w:rFonts w:ascii="Arial" w:hAnsi="Arial" w:cs="Arial"/>
          <w:sz w:val="20"/>
          <w:szCs w:val="20"/>
          <w:highlight w:val="yellow"/>
        </w:rPr>
        <w:t>A student is pre-assessed</w:t>
      </w:r>
      <w:r w:rsidR="007F396D" w:rsidRPr="00805434">
        <w:rPr>
          <w:rFonts w:ascii="Arial" w:hAnsi="Arial" w:cs="Arial"/>
          <w:sz w:val="20"/>
          <w:szCs w:val="20"/>
          <w:highlight w:val="yellow"/>
        </w:rPr>
        <w:t xml:space="preserve"> at the beginning of a unit of study or standard </w:t>
      </w:r>
      <w:r w:rsidRPr="00805434">
        <w:rPr>
          <w:rFonts w:ascii="Arial" w:hAnsi="Arial" w:cs="Arial"/>
          <w:sz w:val="20"/>
          <w:szCs w:val="20"/>
          <w:highlight w:val="yellow"/>
        </w:rPr>
        <w:t>to determine proficiency on a specific curriculum standard.  If proficient, the student should engage in advanced content and skill development in that area</w:t>
      </w:r>
      <w:r w:rsidR="000252A9" w:rsidRPr="00805434">
        <w:rPr>
          <w:rFonts w:ascii="Arial" w:hAnsi="Arial" w:cs="Arial"/>
          <w:sz w:val="20"/>
          <w:szCs w:val="20"/>
          <w:highlight w:val="yellow"/>
        </w:rPr>
        <w:t>,</w:t>
      </w:r>
      <w:r w:rsidRPr="00805434">
        <w:rPr>
          <w:rFonts w:ascii="Arial" w:hAnsi="Arial" w:cs="Arial"/>
          <w:sz w:val="20"/>
          <w:szCs w:val="20"/>
          <w:highlight w:val="yellow"/>
        </w:rPr>
        <w:t xml:space="preserve"> or another area</w:t>
      </w:r>
      <w:r w:rsidR="000252A9" w:rsidRPr="00805434">
        <w:rPr>
          <w:rFonts w:ascii="Arial" w:hAnsi="Arial" w:cs="Arial"/>
          <w:sz w:val="20"/>
          <w:szCs w:val="20"/>
          <w:highlight w:val="yellow"/>
        </w:rPr>
        <w:t>,</w:t>
      </w:r>
      <w:r w:rsidR="002E65E2" w:rsidRPr="00805434">
        <w:rPr>
          <w:rFonts w:ascii="Arial" w:hAnsi="Arial" w:cs="Arial"/>
          <w:sz w:val="20"/>
          <w:szCs w:val="20"/>
          <w:highlight w:val="yellow"/>
        </w:rPr>
        <w:t xml:space="preserve"> while </w:t>
      </w:r>
      <w:r w:rsidRPr="00805434">
        <w:rPr>
          <w:rFonts w:ascii="Arial" w:hAnsi="Arial" w:cs="Arial"/>
          <w:sz w:val="20"/>
          <w:szCs w:val="20"/>
          <w:highlight w:val="yellow"/>
        </w:rPr>
        <w:t xml:space="preserve">remaining in the current </w:t>
      </w:r>
      <w:r w:rsidR="002E65E2" w:rsidRPr="00805434">
        <w:rPr>
          <w:rFonts w:ascii="Arial" w:hAnsi="Arial" w:cs="Arial"/>
          <w:sz w:val="20"/>
          <w:szCs w:val="20"/>
          <w:highlight w:val="yellow"/>
        </w:rPr>
        <w:t>course of study</w:t>
      </w:r>
      <w:r w:rsidRPr="00805434">
        <w:rPr>
          <w:rFonts w:ascii="Arial" w:hAnsi="Arial" w:cs="Arial"/>
          <w:sz w:val="20"/>
          <w:szCs w:val="20"/>
          <w:highlight w:val="yellow"/>
        </w:rPr>
        <w:t>.</w:t>
      </w:r>
      <w:r w:rsidR="00482EE3" w:rsidRPr="00805434">
        <w:rPr>
          <w:rFonts w:ascii="Arial" w:hAnsi="Arial" w:cs="Arial"/>
          <w:sz w:val="20"/>
          <w:szCs w:val="20"/>
          <w:highlight w:val="yellow"/>
        </w:rPr>
        <w:t xml:space="preserve">  This accelerative practice focuses on enrichment within a specific content area for depth of knowledge.</w:t>
      </w:r>
    </w:p>
    <w:p w:rsidR="00482EE3" w:rsidRPr="00805434" w:rsidRDefault="00482EE3" w:rsidP="00482EE3">
      <w:pPr>
        <w:spacing w:after="0" w:line="240" w:lineRule="auto"/>
        <w:rPr>
          <w:rFonts w:ascii="Arial" w:hAnsi="Arial" w:cs="Arial"/>
          <w:b/>
          <w:sz w:val="20"/>
          <w:szCs w:val="20"/>
          <w:highlight w:val="yellow"/>
        </w:rPr>
      </w:pPr>
    </w:p>
    <w:p w:rsidR="009B2F73" w:rsidRPr="00805434" w:rsidRDefault="000E4FED" w:rsidP="00C83FA2">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Dual Enrollment</w:t>
      </w:r>
      <w:r w:rsidR="00B46F4C" w:rsidRPr="00805434">
        <w:rPr>
          <w:rFonts w:ascii="Arial" w:hAnsi="Arial" w:cs="Arial"/>
          <w:b/>
          <w:sz w:val="20"/>
          <w:szCs w:val="20"/>
          <w:highlight w:val="yellow"/>
        </w:rPr>
        <w:t xml:space="preserve"> (6-12)</w:t>
      </w:r>
      <w:r w:rsidRPr="00805434">
        <w:rPr>
          <w:rFonts w:ascii="Arial" w:hAnsi="Arial" w:cs="Arial"/>
          <w:b/>
          <w:sz w:val="20"/>
          <w:szCs w:val="20"/>
          <w:highlight w:val="yellow"/>
        </w:rPr>
        <w:t xml:space="preserve">:  </w:t>
      </w:r>
      <w:r w:rsidR="001248C9" w:rsidRPr="00805434">
        <w:rPr>
          <w:rFonts w:ascii="Arial" w:hAnsi="Arial" w:cs="Arial"/>
          <w:sz w:val="20"/>
          <w:szCs w:val="20"/>
          <w:highlight w:val="yellow"/>
        </w:rPr>
        <w:t>WCPSS</w:t>
      </w:r>
      <w:r w:rsidR="001248C9" w:rsidRPr="00805434">
        <w:rPr>
          <w:rFonts w:ascii="Arial" w:hAnsi="Arial" w:cs="Arial"/>
          <w:b/>
          <w:sz w:val="20"/>
          <w:szCs w:val="20"/>
          <w:highlight w:val="yellow"/>
        </w:rPr>
        <w:t xml:space="preserve"> </w:t>
      </w:r>
      <w:r w:rsidR="009B2F73" w:rsidRPr="00805434">
        <w:rPr>
          <w:rFonts w:ascii="Arial" w:hAnsi="Arial" w:cs="Arial"/>
          <w:sz w:val="20"/>
          <w:szCs w:val="20"/>
          <w:highlight w:val="yellow"/>
        </w:rPr>
        <w:t xml:space="preserve">middle or high school </w:t>
      </w:r>
      <w:r w:rsidRPr="00805434">
        <w:rPr>
          <w:rFonts w:ascii="Arial" w:hAnsi="Arial" w:cs="Arial"/>
          <w:sz w:val="20"/>
          <w:szCs w:val="20"/>
          <w:highlight w:val="yellow"/>
        </w:rPr>
        <w:t>student</w:t>
      </w:r>
      <w:r w:rsidR="001248C9" w:rsidRPr="00805434">
        <w:rPr>
          <w:rFonts w:ascii="Arial" w:hAnsi="Arial" w:cs="Arial"/>
          <w:sz w:val="20"/>
          <w:szCs w:val="20"/>
          <w:highlight w:val="yellow"/>
        </w:rPr>
        <w:t xml:space="preserve">s </w:t>
      </w:r>
      <w:r w:rsidR="005D408F" w:rsidRPr="00805434">
        <w:rPr>
          <w:rFonts w:ascii="Arial" w:hAnsi="Arial" w:cs="Arial"/>
          <w:sz w:val="20"/>
          <w:szCs w:val="20"/>
          <w:highlight w:val="yellow"/>
        </w:rPr>
        <w:t xml:space="preserve">have </w:t>
      </w:r>
      <w:r w:rsidR="001248C9" w:rsidRPr="00805434">
        <w:rPr>
          <w:rFonts w:ascii="Arial" w:hAnsi="Arial" w:cs="Arial"/>
          <w:sz w:val="20"/>
          <w:szCs w:val="20"/>
          <w:highlight w:val="yellow"/>
        </w:rPr>
        <w:t>the opportunity to take approved courses for high school credit at regionally accredited institutions including institutions of Higher Education (IHE), community colleges, NCVPS, and non-WCPSS secondary schools.  Courses taken must provide opportunities not currently available to the student at the middle school or high school, including courses of an advanced or expanded nature.  The base school will award high school graduation credit, and grades, when the official grade report for the course taken is received at the base school.  Quality points will be calculated as defined in the WCPSS high school program-planning guide.  The student’s official high school transcript will include grades and credit earned through dual enrollment.  For students in grades 9-12, the grades earned through dual enrollment will factor into the Cumulative Grade Point Average (GPA) and class rank.</w:t>
      </w:r>
      <w:r w:rsidRPr="00805434">
        <w:rPr>
          <w:rFonts w:ascii="Arial" w:hAnsi="Arial" w:cs="Arial"/>
          <w:sz w:val="20"/>
          <w:szCs w:val="20"/>
          <w:highlight w:val="yellow"/>
        </w:rPr>
        <w:t xml:space="preserve"> </w:t>
      </w:r>
      <w:r w:rsidR="002B5A24" w:rsidRPr="00805434">
        <w:rPr>
          <w:rFonts w:ascii="Arial" w:hAnsi="Arial" w:cs="Arial"/>
          <w:sz w:val="20"/>
          <w:szCs w:val="20"/>
          <w:highlight w:val="yellow"/>
        </w:rPr>
        <w:t xml:space="preserve"> Reference WCPSS BOE Policy 5534.</w:t>
      </w:r>
    </w:p>
    <w:p w:rsidR="001248C9" w:rsidRPr="00805434" w:rsidRDefault="001248C9" w:rsidP="001248C9">
      <w:pPr>
        <w:spacing w:after="0" w:line="240" w:lineRule="auto"/>
        <w:rPr>
          <w:rFonts w:ascii="Arial" w:hAnsi="Arial" w:cs="Arial"/>
          <w:b/>
          <w:sz w:val="20"/>
          <w:szCs w:val="20"/>
          <w:highlight w:val="yellow"/>
        </w:rPr>
      </w:pPr>
    </w:p>
    <w:p w:rsidR="007E084B" w:rsidRPr="00805434" w:rsidRDefault="007E084B" w:rsidP="007E084B">
      <w:pPr>
        <w:pStyle w:val="ListParagraph"/>
        <w:spacing w:after="0" w:line="240" w:lineRule="auto"/>
        <w:ind w:left="2220"/>
        <w:rPr>
          <w:rFonts w:ascii="Arial" w:hAnsi="Arial" w:cs="Arial"/>
          <w:b/>
          <w:sz w:val="20"/>
          <w:szCs w:val="20"/>
          <w:highlight w:val="yellow"/>
        </w:rPr>
      </w:pPr>
    </w:p>
    <w:p w:rsidR="00F47F1A" w:rsidRPr="00805434" w:rsidRDefault="004E4EA2" w:rsidP="00F47F1A">
      <w:pPr>
        <w:pStyle w:val="ListParagraph"/>
        <w:numPr>
          <w:ilvl w:val="1"/>
          <w:numId w:val="3"/>
        </w:numPr>
        <w:spacing w:after="0" w:line="240" w:lineRule="auto"/>
        <w:rPr>
          <w:rFonts w:ascii="Arial" w:hAnsi="Arial" w:cs="Arial"/>
          <w:sz w:val="20"/>
          <w:szCs w:val="20"/>
          <w:highlight w:val="yellow"/>
        </w:rPr>
      </w:pPr>
      <w:r w:rsidRPr="00805434">
        <w:rPr>
          <w:rFonts w:ascii="Arial" w:hAnsi="Arial" w:cs="Arial"/>
          <w:b/>
          <w:sz w:val="20"/>
          <w:szCs w:val="20"/>
          <w:highlight w:val="yellow"/>
        </w:rPr>
        <w:t xml:space="preserve">Advanced Placement (AP) (9-12): </w:t>
      </w:r>
      <w:r w:rsidRPr="00805434">
        <w:rPr>
          <w:rFonts w:ascii="Arial" w:hAnsi="Arial" w:cs="Arial"/>
          <w:sz w:val="20"/>
          <w:szCs w:val="20"/>
          <w:highlight w:val="yellow"/>
        </w:rPr>
        <w:t xml:space="preserve">The AP program offers college-level coursework for students as early as middle school. AP exams allow students to earn university credit and/or advanced university standing based on the examination score. </w:t>
      </w:r>
      <w:r w:rsidR="007E084B" w:rsidRPr="00805434">
        <w:rPr>
          <w:rFonts w:ascii="Arial" w:hAnsi="Arial" w:cs="Arial"/>
          <w:sz w:val="20"/>
          <w:szCs w:val="20"/>
          <w:highlight w:val="yellow"/>
        </w:rPr>
        <w:t>The state weighting system adds the equivalent of two quality points to the grade earned in the AP/IB course. See State Board Policy HSP-L-004 &amp; GS 116-11(10a)</w:t>
      </w:r>
      <w:r w:rsidR="00F526A0" w:rsidRPr="00805434">
        <w:rPr>
          <w:rFonts w:ascii="Arial" w:hAnsi="Arial" w:cs="Arial"/>
          <w:sz w:val="20"/>
          <w:szCs w:val="20"/>
          <w:highlight w:val="yellow"/>
        </w:rPr>
        <w:t xml:space="preserve">. </w:t>
      </w:r>
    </w:p>
    <w:p w:rsidR="00F47F1A" w:rsidRPr="00805434" w:rsidRDefault="00F47F1A" w:rsidP="00F47F1A">
      <w:pPr>
        <w:spacing w:after="0" w:line="240" w:lineRule="auto"/>
        <w:rPr>
          <w:rFonts w:ascii="Arial" w:hAnsi="Arial" w:cs="Arial"/>
          <w:sz w:val="20"/>
          <w:szCs w:val="20"/>
          <w:highlight w:val="yellow"/>
        </w:rPr>
      </w:pPr>
    </w:p>
    <w:p w:rsidR="00F47F1A" w:rsidRPr="00805434" w:rsidRDefault="00F47F1A" w:rsidP="00F47F1A">
      <w:pPr>
        <w:pStyle w:val="ListParagraph"/>
        <w:spacing w:after="0" w:line="240" w:lineRule="auto"/>
        <w:ind w:left="2220"/>
        <w:rPr>
          <w:rFonts w:ascii="Arial" w:hAnsi="Arial" w:cs="Arial"/>
          <w:sz w:val="20"/>
          <w:szCs w:val="20"/>
          <w:highlight w:val="yellow"/>
        </w:rPr>
      </w:pPr>
    </w:p>
    <w:p w:rsidR="00F47F1A" w:rsidRPr="00805434" w:rsidRDefault="00F47F1A" w:rsidP="002B5A24">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NC Virtual Public School (NCVPS):</w:t>
      </w:r>
      <w:r w:rsidRPr="00805434">
        <w:rPr>
          <w:rFonts w:ascii="Arial" w:hAnsi="Arial" w:cs="Arial"/>
          <w:sz w:val="20"/>
          <w:szCs w:val="20"/>
          <w:highlight w:val="yellow"/>
        </w:rPr>
        <w:t xml:space="preserve"> NCVPS provides students the opportunity to enroll in courses that they cannot take at their local school.  NCVPS offers high school and middle school credit accelerati</w:t>
      </w:r>
      <w:r w:rsidR="00A8073C" w:rsidRPr="00805434">
        <w:rPr>
          <w:rFonts w:ascii="Arial" w:hAnsi="Arial" w:cs="Arial"/>
          <w:sz w:val="20"/>
          <w:szCs w:val="20"/>
          <w:highlight w:val="yellow"/>
        </w:rPr>
        <w:t xml:space="preserve">on course options. </w:t>
      </w:r>
      <w:r w:rsidR="002B5A24" w:rsidRPr="00805434">
        <w:rPr>
          <w:rFonts w:ascii="Arial" w:hAnsi="Arial" w:cs="Arial"/>
          <w:sz w:val="20"/>
          <w:szCs w:val="20"/>
          <w:highlight w:val="yellow"/>
        </w:rPr>
        <w:t xml:space="preserve"> Reference WCPSS BOE Policy 5534.</w:t>
      </w:r>
    </w:p>
    <w:p w:rsidR="00A8073C" w:rsidRPr="00805434" w:rsidRDefault="00A8073C" w:rsidP="00A8073C">
      <w:pPr>
        <w:pStyle w:val="ListParagraph"/>
        <w:ind w:left="2220"/>
        <w:rPr>
          <w:rFonts w:ascii="Arial" w:hAnsi="Arial" w:cs="Arial"/>
          <w:b/>
          <w:sz w:val="20"/>
          <w:szCs w:val="20"/>
          <w:highlight w:val="yellow"/>
        </w:rPr>
      </w:pPr>
    </w:p>
    <w:p w:rsidR="007A0868" w:rsidRPr="00805434" w:rsidRDefault="00F47F1A" w:rsidP="00F47F1A">
      <w:pPr>
        <w:pStyle w:val="ListParagraph"/>
        <w:numPr>
          <w:ilvl w:val="1"/>
          <w:numId w:val="3"/>
        </w:numPr>
        <w:spacing w:after="0" w:line="240" w:lineRule="auto"/>
        <w:rPr>
          <w:rFonts w:ascii="Arial" w:hAnsi="Arial" w:cs="Arial"/>
          <w:sz w:val="20"/>
          <w:szCs w:val="20"/>
          <w:highlight w:val="yellow"/>
        </w:rPr>
      </w:pPr>
      <w:r w:rsidRPr="00805434">
        <w:rPr>
          <w:rFonts w:ascii="Arial" w:hAnsi="Arial" w:cs="Arial"/>
          <w:b/>
          <w:sz w:val="20"/>
          <w:szCs w:val="20"/>
          <w:highlight w:val="yellow"/>
        </w:rPr>
        <w:t>Individual Subject Acceleration (ISA)</w:t>
      </w:r>
      <w:r w:rsidR="00A8073C" w:rsidRPr="00805434">
        <w:rPr>
          <w:rFonts w:ascii="Arial" w:hAnsi="Arial" w:cs="Arial"/>
          <w:b/>
          <w:sz w:val="20"/>
          <w:szCs w:val="20"/>
          <w:highlight w:val="yellow"/>
        </w:rPr>
        <w:t>(K-5)</w:t>
      </w:r>
      <w:r w:rsidRPr="00805434">
        <w:rPr>
          <w:rFonts w:ascii="Arial" w:hAnsi="Arial" w:cs="Arial"/>
          <w:b/>
          <w:sz w:val="20"/>
          <w:szCs w:val="20"/>
          <w:highlight w:val="yellow"/>
        </w:rPr>
        <w:t xml:space="preserve">: </w:t>
      </w:r>
      <w:r w:rsidRPr="00805434">
        <w:rPr>
          <w:rFonts w:ascii="Arial" w:hAnsi="Arial" w:cs="Arial"/>
          <w:sz w:val="20"/>
          <w:szCs w:val="20"/>
          <w:highlight w:val="yellow"/>
        </w:rPr>
        <w:t xml:space="preserve">ISA is the practice of </w:t>
      </w:r>
      <w:r w:rsidR="002B5A24" w:rsidRPr="00805434">
        <w:rPr>
          <w:rFonts w:ascii="Arial" w:hAnsi="Arial" w:cs="Arial"/>
          <w:sz w:val="20"/>
          <w:szCs w:val="20"/>
          <w:highlight w:val="yellow"/>
        </w:rPr>
        <w:t>assigning a student to a higher-</w:t>
      </w:r>
      <w:r w:rsidRPr="00805434">
        <w:rPr>
          <w:rFonts w:ascii="Arial" w:hAnsi="Arial" w:cs="Arial"/>
          <w:sz w:val="20"/>
          <w:szCs w:val="20"/>
          <w:highlight w:val="yellow"/>
        </w:rPr>
        <w:t>grade level than is typical given the student’s age, for the purpose of providing access to appropriately ch</w:t>
      </w:r>
      <w:r w:rsidR="00A8073C" w:rsidRPr="00805434">
        <w:rPr>
          <w:rFonts w:ascii="Arial" w:hAnsi="Arial" w:cs="Arial"/>
          <w:sz w:val="20"/>
          <w:szCs w:val="20"/>
          <w:highlight w:val="yellow"/>
        </w:rPr>
        <w:t>allenging learning opportunities.</w:t>
      </w:r>
    </w:p>
    <w:p w:rsidR="00A8073C" w:rsidRPr="00805434" w:rsidRDefault="00A8073C" w:rsidP="00A8073C">
      <w:pPr>
        <w:pStyle w:val="ListParagraph"/>
        <w:spacing w:after="0" w:line="240" w:lineRule="auto"/>
        <w:ind w:left="2220"/>
        <w:rPr>
          <w:rFonts w:ascii="Arial" w:hAnsi="Arial" w:cs="Arial"/>
          <w:sz w:val="20"/>
          <w:szCs w:val="20"/>
          <w:highlight w:val="yellow"/>
        </w:rPr>
      </w:pPr>
    </w:p>
    <w:p w:rsidR="00B414C2" w:rsidRPr="00805434" w:rsidRDefault="00B414C2" w:rsidP="00CC2F91">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Credit by Demonstrated Mastery</w:t>
      </w:r>
      <w:r w:rsidR="005D408F" w:rsidRPr="00805434">
        <w:rPr>
          <w:rFonts w:ascii="Arial" w:hAnsi="Arial" w:cs="Arial"/>
          <w:b/>
          <w:sz w:val="20"/>
          <w:szCs w:val="20"/>
          <w:highlight w:val="yellow"/>
        </w:rPr>
        <w:t xml:space="preserve"> </w:t>
      </w:r>
      <w:r w:rsidR="00B46F4C" w:rsidRPr="00805434">
        <w:rPr>
          <w:rFonts w:ascii="Arial" w:hAnsi="Arial" w:cs="Arial"/>
          <w:b/>
          <w:sz w:val="20"/>
          <w:szCs w:val="20"/>
          <w:highlight w:val="yellow"/>
        </w:rPr>
        <w:t>(6-12)</w:t>
      </w:r>
      <w:r w:rsidRPr="00805434">
        <w:rPr>
          <w:rFonts w:ascii="Arial" w:hAnsi="Arial" w:cs="Arial"/>
          <w:b/>
          <w:sz w:val="20"/>
          <w:szCs w:val="20"/>
          <w:highlight w:val="yellow"/>
        </w:rPr>
        <w:t xml:space="preserve">: </w:t>
      </w:r>
      <w:r w:rsidRPr="00805434">
        <w:rPr>
          <w:rFonts w:ascii="Arial" w:hAnsi="Arial" w:cs="Arial"/>
          <w:sz w:val="20"/>
          <w:szCs w:val="20"/>
          <w:highlight w:val="yellow"/>
        </w:rPr>
        <w:t>A student shall demonstrate mastery through a multi-phase assessment consisting of (1) a standard examination</w:t>
      </w:r>
      <w:r w:rsidR="009425D6" w:rsidRPr="00805434">
        <w:rPr>
          <w:rFonts w:ascii="Arial" w:hAnsi="Arial" w:cs="Arial"/>
          <w:sz w:val="20"/>
          <w:szCs w:val="20"/>
          <w:highlight w:val="yellow"/>
        </w:rPr>
        <w:t xml:space="preserve"> or a final exam developed locally,</w:t>
      </w:r>
      <w:r w:rsidR="005574C4" w:rsidRPr="00805434">
        <w:rPr>
          <w:rFonts w:ascii="Arial" w:hAnsi="Arial" w:cs="Arial"/>
          <w:sz w:val="20"/>
          <w:szCs w:val="20"/>
          <w:highlight w:val="yellow"/>
        </w:rPr>
        <w:t xml:space="preserve"> and (2) an artifact which requires the student to </w:t>
      </w:r>
      <w:r w:rsidR="005574C4" w:rsidRPr="00805434">
        <w:rPr>
          <w:rFonts w:ascii="Arial" w:hAnsi="Arial" w:cs="Arial"/>
          <w:sz w:val="20"/>
          <w:szCs w:val="20"/>
          <w:highlight w:val="yellow"/>
        </w:rPr>
        <w:lastRenderedPageBreak/>
        <w:t>apply knowledge and skills relevant to the content standards.</w:t>
      </w:r>
      <w:r w:rsidR="009425D6" w:rsidRPr="00805434">
        <w:rPr>
          <w:rFonts w:ascii="Arial" w:hAnsi="Arial" w:cs="Arial"/>
          <w:sz w:val="20"/>
          <w:szCs w:val="20"/>
          <w:highlight w:val="yellow"/>
        </w:rPr>
        <w:t xml:space="preserve"> Local Education Agencies (LEAs) may require additional requirements, such as performance tasks. Based upon this </w:t>
      </w:r>
      <w:r w:rsidR="005574C4" w:rsidRPr="00805434">
        <w:rPr>
          <w:rFonts w:ascii="Arial" w:hAnsi="Arial" w:cs="Arial"/>
          <w:sz w:val="20"/>
          <w:szCs w:val="20"/>
          <w:highlight w:val="yellow"/>
        </w:rPr>
        <w:t>body of evidence, a student may be awarded credit in a particular course without requiring the student to complete classroom instruction for a certain amount of seat time.</w:t>
      </w:r>
      <w:r w:rsidR="00482EE3" w:rsidRPr="00805434">
        <w:rPr>
          <w:rFonts w:ascii="Arial" w:hAnsi="Arial" w:cs="Arial"/>
          <w:sz w:val="20"/>
          <w:szCs w:val="20"/>
          <w:highlight w:val="yellow"/>
        </w:rPr>
        <w:t xml:space="preserve"> </w:t>
      </w:r>
    </w:p>
    <w:p w:rsidR="00973979" w:rsidRPr="00805434" w:rsidRDefault="00973979" w:rsidP="00973979">
      <w:pPr>
        <w:pStyle w:val="ListParagraph"/>
        <w:spacing w:after="0" w:line="240" w:lineRule="auto"/>
        <w:ind w:left="2220"/>
        <w:rPr>
          <w:rFonts w:ascii="Arial" w:hAnsi="Arial" w:cs="Arial"/>
          <w:b/>
          <w:sz w:val="20"/>
          <w:szCs w:val="20"/>
          <w:highlight w:val="yellow"/>
        </w:rPr>
      </w:pPr>
    </w:p>
    <w:p w:rsidR="00195DE9" w:rsidRPr="00805434" w:rsidRDefault="00195DE9" w:rsidP="00195DE9">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International Baccalaureate-Middle Years Programme (MYP) (6-8):</w:t>
      </w:r>
      <w:r w:rsidRPr="00805434">
        <w:rPr>
          <w:rFonts w:ascii="Arial" w:hAnsi="Arial" w:cs="Arial"/>
          <w:sz w:val="20"/>
          <w:szCs w:val="20"/>
          <w:highlight w:val="yellow"/>
        </w:rPr>
        <w:t xml:space="preserve">  The MYP is a whole-school 9th-10th grade curriculum at Garner Magnet High School, Broughton Magnet High School, Millbrook Magnet High School.  After 10th-grade, students have the opportunity to enroll in the 11th-12th grade Diploma Programme, which fulfills all graduation requirements for North Carolina through an internationally-normed liberal arts curriculum </w:t>
      </w:r>
      <w:r w:rsidR="00F3746D" w:rsidRPr="00805434">
        <w:rPr>
          <w:rFonts w:ascii="Arial" w:hAnsi="Arial" w:cs="Arial"/>
          <w:sz w:val="20"/>
          <w:szCs w:val="20"/>
          <w:highlight w:val="yellow"/>
        </w:rPr>
        <w:t>(See IB Baccalau</w:t>
      </w:r>
      <w:r w:rsidRPr="00805434">
        <w:rPr>
          <w:rFonts w:ascii="Arial" w:hAnsi="Arial" w:cs="Arial"/>
          <w:sz w:val="20"/>
          <w:szCs w:val="20"/>
          <w:highlight w:val="yellow"/>
        </w:rPr>
        <w:t>reate Diploma)</w:t>
      </w:r>
    </w:p>
    <w:p w:rsidR="00195DE9" w:rsidRPr="00805434" w:rsidRDefault="00195DE9" w:rsidP="00195DE9">
      <w:pPr>
        <w:spacing w:after="0" w:line="240" w:lineRule="auto"/>
        <w:rPr>
          <w:rFonts w:ascii="Arial" w:hAnsi="Arial" w:cs="Arial"/>
          <w:b/>
          <w:sz w:val="20"/>
          <w:szCs w:val="20"/>
          <w:highlight w:val="yellow"/>
        </w:rPr>
      </w:pPr>
    </w:p>
    <w:p w:rsidR="005A31F6" w:rsidRPr="00805434" w:rsidRDefault="00195DE9" w:rsidP="00195DE9">
      <w:pPr>
        <w:pStyle w:val="ListParagraph"/>
        <w:numPr>
          <w:ilvl w:val="1"/>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 xml:space="preserve">International Baccalaureate Diploma (IB)(9-12): </w:t>
      </w:r>
      <w:r w:rsidRPr="00805434">
        <w:rPr>
          <w:rFonts w:ascii="Arial" w:hAnsi="Arial" w:cs="Arial"/>
          <w:sz w:val="20"/>
          <w:szCs w:val="20"/>
          <w:highlight w:val="yellow"/>
        </w:rPr>
        <w:t xml:space="preserve"> Advanced students may participate in the IB program, if they have participated in the International Baccalaureate MYP program and by taking the corresponding university-level curricula.</w:t>
      </w:r>
      <w:r w:rsidRPr="00805434">
        <w:rPr>
          <w:rFonts w:ascii="Arial" w:hAnsi="Arial" w:cs="Arial"/>
          <w:b/>
          <w:sz w:val="20"/>
          <w:szCs w:val="20"/>
          <w:highlight w:val="yellow"/>
        </w:rPr>
        <w:t xml:space="preserve"> </w:t>
      </w:r>
      <w:r w:rsidRPr="00805434">
        <w:rPr>
          <w:rFonts w:ascii="Arial" w:hAnsi="Arial" w:cs="Arial"/>
          <w:sz w:val="20"/>
          <w:szCs w:val="20"/>
          <w:highlight w:val="yellow"/>
        </w:rPr>
        <w:t xml:space="preserve">At the end of high school the student should complete an international examination, receiving advanced standing and course credits upon </w:t>
      </w:r>
      <w:r w:rsidR="007A0868" w:rsidRPr="00805434">
        <w:rPr>
          <w:rFonts w:ascii="Arial" w:hAnsi="Arial" w:cs="Arial"/>
          <w:sz w:val="20"/>
          <w:szCs w:val="20"/>
          <w:highlight w:val="yellow"/>
        </w:rPr>
        <w:t xml:space="preserve">matriculation to university. </w:t>
      </w:r>
    </w:p>
    <w:p w:rsidR="000E4FED" w:rsidRPr="00805434" w:rsidRDefault="000E4FED" w:rsidP="000E4FED">
      <w:pPr>
        <w:pStyle w:val="ListParagraph"/>
        <w:spacing w:after="0" w:line="240" w:lineRule="auto"/>
        <w:ind w:left="2220"/>
        <w:rPr>
          <w:rFonts w:ascii="Arial" w:hAnsi="Arial" w:cs="Arial"/>
          <w:b/>
          <w:sz w:val="20"/>
          <w:szCs w:val="20"/>
          <w:highlight w:val="yellow"/>
        </w:rPr>
      </w:pPr>
    </w:p>
    <w:p w:rsidR="00963CCC" w:rsidRPr="00805434" w:rsidRDefault="00CC2F91" w:rsidP="00E878FC">
      <w:pPr>
        <w:pStyle w:val="ListParagraph"/>
        <w:numPr>
          <w:ilvl w:val="0"/>
          <w:numId w:val="3"/>
        </w:numPr>
        <w:spacing w:after="0" w:line="240" w:lineRule="auto"/>
        <w:rPr>
          <w:rFonts w:ascii="Arial" w:hAnsi="Arial" w:cs="Arial"/>
          <w:b/>
          <w:sz w:val="20"/>
          <w:szCs w:val="20"/>
          <w:highlight w:val="yellow"/>
        </w:rPr>
      </w:pPr>
      <w:r w:rsidRPr="00805434">
        <w:rPr>
          <w:rFonts w:ascii="Arial" w:hAnsi="Arial" w:cs="Arial"/>
          <w:b/>
          <w:sz w:val="20"/>
          <w:szCs w:val="20"/>
          <w:highlight w:val="yellow"/>
        </w:rPr>
        <w:t>Grade-based Acceleration</w:t>
      </w:r>
    </w:p>
    <w:p w:rsidR="00E878FC" w:rsidRPr="00805434" w:rsidRDefault="003556E9" w:rsidP="00E878FC">
      <w:pPr>
        <w:pStyle w:val="ListParagraph"/>
        <w:numPr>
          <w:ilvl w:val="1"/>
          <w:numId w:val="3"/>
        </w:numPr>
        <w:rPr>
          <w:rFonts w:ascii="Arial" w:hAnsi="Arial" w:cs="Arial"/>
          <w:b/>
          <w:sz w:val="20"/>
          <w:szCs w:val="20"/>
          <w:highlight w:val="yellow"/>
        </w:rPr>
      </w:pPr>
      <w:r w:rsidRPr="00805434">
        <w:rPr>
          <w:rFonts w:ascii="Arial" w:hAnsi="Arial" w:cs="Arial"/>
          <w:b/>
          <w:sz w:val="20"/>
          <w:szCs w:val="20"/>
          <w:highlight w:val="yellow"/>
        </w:rPr>
        <w:t xml:space="preserve">Early Kindergarten Entry (EKE): </w:t>
      </w:r>
      <w:r w:rsidRPr="00805434">
        <w:rPr>
          <w:rFonts w:ascii="Arial" w:hAnsi="Arial" w:cs="Arial"/>
          <w:sz w:val="20"/>
          <w:szCs w:val="20"/>
          <w:highlight w:val="yellow"/>
        </w:rPr>
        <w:t>A child who has reached his /her 4</w:t>
      </w:r>
      <w:r w:rsidRPr="00805434">
        <w:rPr>
          <w:rFonts w:ascii="Arial" w:hAnsi="Arial" w:cs="Arial"/>
          <w:sz w:val="20"/>
          <w:szCs w:val="20"/>
          <w:highlight w:val="yellow"/>
          <w:vertAlign w:val="superscript"/>
        </w:rPr>
        <w:t>th</w:t>
      </w:r>
      <w:r w:rsidRPr="00805434">
        <w:rPr>
          <w:rFonts w:ascii="Arial" w:hAnsi="Arial" w:cs="Arial"/>
          <w:sz w:val="20"/>
          <w:szCs w:val="20"/>
          <w:highlight w:val="yellow"/>
        </w:rPr>
        <w:t xml:space="preserve"> birthday by April 16,</w:t>
      </w:r>
      <w:r w:rsidR="00412739" w:rsidRPr="00805434">
        <w:rPr>
          <w:rFonts w:ascii="Arial" w:hAnsi="Arial" w:cs="Arial"/>
          <w:sz w:val="20"/>
          <w:szCs w:val="20"/>
          <w:highlight w:val="yellow"/>
        </w:rPr>
        <w:t xml:space="preserve"> </w:t>
      </w:r>
      <w:r w:rsidR="00E878FC" w:rsidRPr="00805434">
        <w:rPr>
          <w:rFonts w:ascii="Arial" w:hAnsi="Arial" w:cs="Arial"/>
          <w:sz w:val="20"/>
          <w:szCs w:val="20"/>
          <w:highlight w:val="yellow"/>
        </w:rPr>
        <w:t xml:space="preserve">may be participate in Kindergarten early, </w:t>
      </w:r>
      <w:r w:rsidRPr="00805434">
        <w:rPr>
          <w:rFonts w:ascii="Arial" w:hAnsi="Arial" w:cs="Arial"/>
          <w:sz w:val="20"/>
          <w:szCs w:val="20"/>
          <w:highlight w:val="yellow"/>
        </w:rPr>
        <w:t>if he or she demonstrates an extraordinary level of academic ability and maturity.</w:t>
      </w:r>
      <w:r w:rsidR="0037410A" w:rsidRPr="00805434">
        <w:rPr>
          <w:rFonts w:ascii="Arial" w:hAnsi="Arial" w:cs="Arial"/>
          <w:sz w:val="20"/>
          <w:szCs w:val="20"/>
          <w:highlight w:val="yellow"/>
        </w:rPr>
        <w:t xml:space="preserve"> </w:t>
      </w:r>
      <w:r w:rsidR="007C26ED" w:rsidRPr="00805434">
        <w:rPr>
          <w:rFonts w:ascii="Arial" w:hAnsi="Arial" w:cs="Arial"/>
          <w:sz w:val="20"/>
          <w:szCs w:val="20"/>
          <w:highlight w:val="yellow"/>
        </w:rPr>
        <w:t xml:space="preserve">The child must meet specific requirements set forth by the LEA prior to conditional enrollment for entering kindergarten early. </w:t>
      </w:r>
      <w:r w:rsidR="00195DE9" w:rsidRPr="00805434">
        <w:rPr>
          <w:rFonts w:ascii="Arial" w:hAnsi="Arial" w:cs="Arial"/>
          <w:sz w:val="20"/>
          <w:szCs w:val="20"/>
          <w:highlight w:val="yellow"/>
        </w:rPr>
        <w:t>The process</w:t>
      </w:r>
      <w:r w:rsidR="00525CEB" w:rsidRPr="00805434">
        <w:rPr>
          <w:rFonts w:ascii="Arial" w:hAnsi="Arial" w:cs="Arial"/>
          <w:sz w:val="20"/>
          <w:szCs w:val="20"/>
          <w:highlight w:val="yellow"/>
        </w:rPr>
        <w:t xml:space="preserve"> as outlined in WCPSS EKE documents must</w:t>
      </w:r>
      <w:r w:rsidR="00195DE9" w:rsidRPr="00805434">
        <w:rPr>
          <w:rFonts w:ascii="Arial" w:hAnsi="Arial" w:cs="Arial"/>
          <w:sz w:val="20"/>
          <w:szCs w:val="20"/>
          <w:highlight w:val="yellow"/>
        </w:rPr>
        <w:t xml:space="preserve"> be followed to ensure the most appropriate placement decision is made.</w:t>
      </w:r>
      <w:r w:rsidR="00195DE9" w:rsidRPr="00805434">
        <w:rPr>
          <w:rFonts w:ascii="Arial" w:hAnsi="Arial" w:cs="Arial"/>
          <w:b/>
          <w:sz w:val="20"/>
          <w:szCs w:val="20"/>
          <w:highlight w:val="yellow"/>
        </w:rPr>
        <w:t xml:space="preserve"> </w:t>
      </w:r>
      <w:r w:rsidR="00F3746D" w:rsidRPr="00805434">
        <w:rPr>
          <w:rFonts w:ascii="Arial" w:hAnsi="Arial" w:cs="Arial"/>
          <w:b/>
          <w:sz w:val="20"/>
          <w:szCs w:val="20"/>
          <w:highlight w:val="yellow"/>
        </w:rPr>
        <w:t xml:space="preserve">  </w:t>
      </w:r>
      <w:r w:rsidR="00525CEB" w:rsidRPr="00805434">
        <w:rPr>
          <w:rFonts w:ascii="Arial" w:hAnsi="Arial" w:cs="Arial"/>
          <w:sz w:val="20"/>
          <w:szCs w:val="20"/>
          <w:highlight w:val="yellow"/>
        </w:rPr>
        <w:t>See GS 115-364(d) &amp; WCPSS BOE Policy 6201:School Admissions</w:t>
      </w:r>
    </w:p>
    <w:p w:rsidR="00E878FC" w:rsidRPr="00805434" w:rsidRDefault="00E878FC" w:rsidP="00E878FC">
      <w:pPr>
        <w:pStyle w:val="ListParagraph"/>
        <w:ind w:left="2220"/>
        <w:rPr>
          <w:rFonts w:ascii="Arial" w:hAnsi="Arial" w:cs="Arial"/>
          <w:b/>
          <w:sz w:val="20"/>
          <w:szCs w:val="20"/>
          <w:highlight w:val="yellow"/>
        </w:rPr>
      </w:pPr>
    </w:p>
    <w:p w:rsidR="006653F3" w:rsidRPr="00805434" w:rsidRDefault="0019455A" w:rsidP="00E878FC">
      <w:pPr>
        <w:pStyle w:val="ListParagraph"/>
        <w:numPr>
          <w:ilvl w:val="1"/>
          <w:numId w:val="3"/>
        </w:numPr>
        <w:rPr>
          <w:rFonts w:ascii="Arial" w:hAnsi="Arial" w:cs="Arial"/>
          <w:b/>
          <w:sz w:val="20"/>
          <w:szCs w:val="20"/>
          <w:highlight w:val="yellow"/>
        </w:rPr>
      </w:pPr>
      <w:r w:rsidRPr="00805434">
        <w:rPr>
          <w:rFonts w:ascii="Arial" w:hAnsi="Arial" w:cs="Arial"/>
          <w:b/>
          <w:sz w:val="20"/>
          <w:szCs w:val="20"/>
          <w:highlight w:val="yellow"/>
        </w:rPr>
        <w:t>Whole Grade Advancement</w:t>
      </w:r>
      <w:r w:rsidR="00A85E43" w:rsidRPr="00805434">
        <w:rPr>
          <w:rFonts w:ascii="Arial" w:hAnsi="Arial" w:cs="Arial"/>
          <w:b/>
          <w:sz w:val="20"/>
          <w:szCs w:val="20"/>
          <w:highlight w:val="yellow"/>
        </w:rPr>
        <w:t xml:space="preserve"> (WGA)</w:t>
      </w:r>
      <w:r w:rsidRPr="00805434">
        <w:rPr>
          <w:rFonts w:ascii="Arial" w:hAnsi="Arial" w:cs="Arial"/>
          <w:b/>
          <w:sz w:val="20"/>
          <w:szCs w:val="20"/>
          <w:highlight w:val="yellow"/>
        </w:rPr>
        <w:t>:</w:t>
      </w:r>
      <w:r w:rsidRPr="00805434">
        <w:rPr>
          <w:rFonts w:ascii="Arial" w:hAnsi="Arial" w:cs="Arial"/>
          <w:sz w:val="20"/>
          <w:szCs w:val="20"/>
          <w:highlight w:val="yellow"/>
        </w:rPr>
        <w:t xml:space="preserve"> WGA </w:t>
      </w:r>
      <w:r w:rsidR="00006754" w:rsidRPr="00805434">
        <w:rPr>
          <w:rFonts w:ascii="Arial" w:hAnsi="Arial" w:cs="Arial"/>
          <w:sz w:val="20"/>
          <w:szCs w:val="20"/>
          <w:highlight w:val="yellow"/>
        </w:rPr>
        <w:t>typically shortens the number of years a student spends in the K-12 system. In practice, a student is placed in a higher-grade level than is typical given the student’s age on a full-time basis for the purpose of providing access to appropriately challenging learning opportunities. Grade-based acceleration is commonly known as “grade skipping,” but it can include other means to shorten the number of years a student remains in the K-12 school system</w:t>
      </w:r>
      <w:r w:rsidR="00F3746D" w:rsidRPr="00805434">
        <w:rPr>
          <w:rFonts w:ascii="Arial" w:hAnsi="Arial" w:cs="Arial"/>
          <w:sz w:val="20"/>
          <w:szCs w:val="20"/>
          <w:highlight w:val="yellow"/>
        </w:rPr>
        <w:t>.</w:t>
      </w:r>
      <w:r w:rsidR="00006754" w:rsidRPr="00805434">
        <w:rPr>
          <w:rFonts w:ascii="Arial" w:hAnsi="Arial" w:cs="Arial"/>
          <w:sz w:val="20"/>
          <w:szCs w:val="20"/>
          <w:highlight w:val="yellow"/>
        </w:rPr>
        <w:t xml:space="preserve"> The exception is early entrance to kindergarten, which does not shorten the number of years the student spends in the K-12 system but shortens the wait time to start school. WCPSS will provide whole-grade acceleration options to exceptional students that meet the standards set by the district. Students that do not meet the standards for whole-grade </w:t>
      </w:r>
      <w:proofErr w:type="gramStart"/>
      <w:r w:rsidR="00006754" w:rsidRPr="00805434">
        <w:rPr>
          <w:rFonts w:ascii="Arial" w:hAnsi="Arial" w:cs="Arial"/>
          <w:sz w:val="20"/>
          <w:szCs w:val="20"/>
          <w:highlight w:val="yellow"/>
        </w:rPr>
        <w:t>acceleration,</w:t>
      </w:r>
      <w:proofErr w:type="gramEnd"/>
      <w:r w:rsidR="00006754" w:rsidRPr="00805434">
        <w:rPr>
          <w:rFonts w:ascii="Arial" w:hAnsi="Arial" w:cs="Arial"/>
          <w:sz w:val="20"/>
          <w:szCs w:val="20"/>
          <w:highlight w:val="yellow"/>
        </w:rPr>
        <w:t xml:space="preserve"> may be</w:t>
      </w:r>
      <w:r w:rsidR="00F3746D" w:rsidRPr="00805434">
        <w:rPr>
          <w:rFonts w:ascii="Arial" w:hAnsi="Arial" w:cs="Arial"/>
          <w:sz w:val="20"/>
          <w:szCs w:val="20"/>
          <w:highlight w:val="yellow"/>
        </w:rPr>
        <w:t xml:space="preserve"> eligible to participate in </w:t>
      </w:r>
      <w:r w:rsidR="00006754" w:rsidRPr="00805434">
        <w:rPr>
          <w:rFonts w:ascii="Arial" w:hAnsi="Arial" w:cs="Arial"/>
          <w:sz w:val="20"/>
          <w:szCs w:val="20"/>
          <w:highlight w:val="yellow"/>
        </w:rPr>
        <w:t>other forms of acceleration.</w:t>
      </w:r>
    </w:p>
    <w:p w:rsidR="006653F3" w:rsidRPr="00805434" w:rsidRDefault="00006754" w:rsidP="006653F3">
      <w:pPr>
        <w:pStyle w:val="ListParagraph"/>
        <w:spacing w:after="0" w:line="240" w:lineRule="auto"/>
        <w:ind w:left="2218"/>
        <w:contextualSpacing w:val="0"/>
        <w:rPr>
          <w:rFonts w:ascii="Arial" w:hAnsi="Arial" w:cs="Arial"/>
          <w:sz w:val="20"/>
          <w:szCs w:val="20"/>
          <w:highlight w:val="yellow"/>
        </w:rPr>
      </w:pPr>
      <w:r w:rsidRPr="00805434">
        <w:rPr>
          <w:rFonts w:ascii="Arial" w:hAnsi="Arial" w:cs="Arial"/>
          <w:sz w:val="20"/>
          <w:szCs w:val="20"/>
          <w:highlight w:val="yellow"/>
        </w:rPr>
        <w:t>Students may be considered only if the follow</w:t>
      </w:r>
      <w:r w:rsidR="006653F3" w:rsidRPr="00805434">
        <w:rPr>
          <w:rFonts w:ascii="Arial" w:hAnsi="Arial" w:cs="Arial"/>
          <w:sz w:val="20"/>
          <w:szCs w:val="20"/>
          <w:highlight w:val="yellow"/>
        </w:rPr>
        <w:t>ing can be clearly demonstrated</w:t>
      </w:r>
    </w:p>
    <w:p w:rsidR="006653F3" w:rsidRPr="00805434" w:rsidRDefault="006653F3" w:rsidP="006653F3">
      <w:pPr>
        <w:pStyle w:val="ListParagraph"/>
        <w:spacing w:after="0" w:line="240" w:lineRule="auto"/>
        <w:ind w:left="2218"/>
        <w:contextualSpacing w:val="0"/>
        <w:rPr>
          <w:rFonts w:ascii="Arial" w:hAnsi="Arial" w:cs="Arial"/>
          <w:sz w:val="20"/>
          <w:szCs w:val="20"/>
          <w:highlight w:val="yellow"/>
        </w:rPr>
      </w:pPr>
      <w:proofErr w:type="gramStart"/>
      <w:r w:rsidRPr="00805434">
        <w:rPr>
          <w:rFonts w:ascii="Arial" w:hAnsi="Arial" w:cs="Arial"/>
          <w:sz w:val="20"/>
          <w:szCs w:val="20"/>
          <w:highlight w:val="yellow"/>
        </w:rPr>
        <w:t>and</w:t>
      </w:r>
      <w:proofErr w:type="gramEnd"/>
      <w:r w:rsidRPr="00805434">
        <w:rPr>
          <w:rFonts w:ascii="Arial" w:hAnsi="Arial" w:cs="Arial"/>
          <w:sz w:val="20"/>
          <w:szCs w:val="20"/>
          <w:highlight w:val="yellow"/>
        </w:rPr>
        <w:t xml:space="preserve"> confirmed, as defined by the Iowa Acceleration Scale 2</w:t>
      </w:r>
      <w:r w:rsidRPr="00805434">
        <w:rPr>
          <w:rFonts w:ascii="Arial" w:hAnsi="Arial" w:cs="Arial"/>
          <w:sz w:val="20"/>
          <w:szCs w:val="20"/>
          <w:highlight w:val="yellow"/>
          <w:vertAlign w:val="superscript"/>
        </w:rPr>
        <w:t>nd</w:t>
      </w:r>
      <w:r w:rsidRPr="00805434">
        <w:rPr>
          <w:rFonts w:ascii="Arial" w:hAnsi="Arial" w:cs="Arial"/>
          <w:sz w:val="20"/>
          <w:szCs w:val="20"/>
          <w:highlight w:val="yellow"/>
        </w:rPr>
        <w:t xml:space="preserve"> Edition.</w:t>
      </w:r>
    </w:p>
    <w:p w:rsidR="00006754" w:rsidRPr="00805434" w:rsidRDefault="00006754" w:rsidP="006653F3">
      <w:pPr>
        <w:widowControl w:val="0"/>
        <w:numPr>
          <w:ilvl w:val="0"/>
          <w:numId w:val="5"/>
        </w:numPr>
        <w:tabs>
          <w:tab w:val="left" w:pos="220"/>
          <w:tab w:val="left" w:pos="720"/>
        </w:tabs>
        <w:autoSpaceDE w:val="0"/>
        <w:autoSpaceDN w:val="0"/>
        <w:adjustRightInd w:val="0"/>
        <w:spacing w:after="0" w:line="240" w:lineRule="auto"/>
        <w:ind w:firstLine="1530"/>
        <w:rPr>
          <w:rFonts w:ascii="Arial" w:hAnsi="Arial" w:cs="Arial"/>
          <w:sz w:val="20"/>
          <w:szCs w:val="20"/>
          <w:highlight w:val="yellow"/>
        </w:rPr>
      </w:pPr>
      <w:r w:rsidRPr="00805434">
        <w:rPr>
          <w:rFonts w:ascii="Arial" w:hAnsi="Arial" w:cs="Arial"/>
          <w:sz w:val="20"/>
          <w:szCs w:val="20"/>
          <w:highlight w:val="yellow"/>
        </w:rPr>
        <w:t xml:space="preserve">Academic achievement in all areas of the curriculum </w:t>
      </w:r>
    </w:p>
    <w:p w:rsidR="00006754" w:rsidRPr="00805434" w:rsidRDefault="00006754" w:rsidP="006653F3">
      <w:pPr>
        <w:widowControl w:val="0"/>
        <w:numPr>
          <w:ilvl w:val="0"/>
          <w:numId w:val="5"/>
        </w:numPr>
        <w:tabs>
          <w:tab w:val="left" w:pos="220"/>
          <w:tab w:val="left" w:pos="720"/>
        </w:tabs>
        <w:autoSpaceDE w:val="0"/>
        <w:autoSpaceDN w:val="0"/>
        <w:adjustRightInd w:val="0"/>
        <w:spacing w:after="0" w:line="240" w:lineRule="auto"/>
        <w:ind w:firstLine="1530"/>
        <w:rPr>
          <w:rFonts w:ascii="Arial" w:hAnsi="Arial" w:cs="Arial"/>
          <w:sz w:val="20"/>
          <w:szCs w:val="20"/>
          <w:highlight w:val="yellow"/>
        </w:rPr>
      </w:pPr>
      <w:r w:rsidRPr="00805434">
        <w:rPr>
          <w:rFonts w:ascii="Arial" w:hAnsi="Arial" w:cs="Arial"/>
          <w:sz w:val="20"/>
          <w:szCs w:val="20"/>
          <w:highlight w:val="yellow"/>
        </w:rPr>
        <w:t xml:space="preserve">Intellectual ability </w:t>
      </w:r>
    </w:p>
    <w:p w:rsidR="00006754" w:rsidRPr="00805434" w:rsidRDefault="00006754" w:rsidP="006653F3">
      <w:pPr>
        <w:widowControl w:val="0"/>
        <w:numPr>
          <w:ilvl w:val="0"/>
          <w:numId w:val="5"/>
        </w:numPr>
        <w:tabs>
          <w:tab w:val="left" w:pos="220"/>
          <w:tab w:val="left" w:pos="720"/>
        </w:tabs>
        <w:autoSpaceDE w:val="0"/>
        <w:autoSpaceDN w:val="0"/>
        <w:adjustRightInd w:val="0"/>
        <w:spacing w:after="0" w:line="240" w:lineRule="auto"/>
        <w:ind w:firstLine="1530"/>
        <w:rPr>
          <w:rFonts w:ascii="Arial" w:hAnsi="Arial" w:cs="Arial"/>
          <w:sz w:val="20"/>
          <w:szCs w:val="20"/>
          <w:highlight w:val="yellow"/>
        </w:rPr>
      </w:pPr>
      <w:r w:rsidRPr="00805434">
        <w:rPr>
          <w:rFonts w:ascii="Arial" w:hAnsi="Arial" w:cs="Arial"/>
          <w:sz w:val="20"/>
          <w:szCs w:val="20"/>
          <w:highlight w:val="yellow"/>
        </w:rPr>
        <w:t xml:space="preserve">Social and emotional maturity </w:t>
      </w:r>
    </w:p>
    <w:p w:rsidR="00006754" w:rsidRPr="00805434" w:rsidRDefault="00006754" w:rsidP="006653F3">
      <w:pPr>
        <w:widowControl w:val="0"/>
        <w:numPr>
          <w:ilvl w:val="0"/>
          <w:numId w:val="5"/>
        </w:numPr>
        <w:tabs>
          <w:tab w:val="left" w:pos="220"/>
          <w:tab w:val="left" w:pos="720"/>
        </w:tabs>
        <w:autoSpaceDE w:val="0"/>
        <w:autoSpaceDN w:val="0"/>
        <w:adjustRightInd w:val="0"/>
        <w:spacing w:after="0" w:line="240" w:lineRule="auto"/>
        <w:ind w:firstLine="1530"/>
        <w:rPr>
          <w:rFonts w:ascii="Arial" w:hAnsi="Arial" w:cs="Arial"/>
          <w:sz w:val="20"/>
          <w:szCs w:val="20"/>
          <w:highlight w:val="yellow"/>
        </w:rPr>
      </w:pPr>
      <w:r w:rsidRPr="00805434">
        <w:rPr>
          <w:rFonts w:ascii="Arial" w:hAnsi="Arial" w:cs="Arial"/>
          <w:sz w:val="20"/>
          <w:szCs w:val="20"/>
          <w:highlight w:val="yellow"/>
        </w:rPr>
        <w:t xml:space="preserve">Persistence and motivation </w:t>
      </w:r>
    </w:p>
    <w:p w:rsidR="00006754" w:rsidRPr="00805434" w:rsidRDefault="00006754" w:rsidP="006653F3">
      <w:pPr>
        <w:widowControl w:val="0"/>
        <w:numPr>
          <w:ilvl w:val="0"/>
          <w:numId w:val="5"/>
        </w:numPr>
        <w:tabs>
          <w:tab w:val="left" w:pos="220"/>
          <w:tab w:val="left" w:pos="720"/>
        </w:tabs>
        <w:autoSpaceDE w:val="0"/>
        <w:autoSpaceDN w:val="0"/>
        <w:adjustRightInd w:val="0"/>
        <w:spacing w:after="0" w:line="240" w:lineRule="auto"/>
        <w:ind w:firstLine="1530"/>
        <w:rPr>
          <w:rFonts w:ascii="Arial" w:hAnsi="Arial" w:cs="Arial"/>
          <w:sz w:val="20"/>
          <w:szCs w:val="20"/>
          <w:highlight w:val="yellow"/>
        </w:rPr>
      </w:pPr>
      <w:r w:rsidRPr="00805434">
        <w:rPr>
          <w:rFonts w:ascii="Arial" w:hAnsi="Arial" w:cs="Arial"/>
          <w:sz w:val="20"/>
          <w:szCs w:val="20"/>
          <w:highlight w:val="yellow"/>
        </w:rPr>
        <w:t>Acceleration is determined to be in the best interest of the student </w:t>
      </w:r>
    </w:p>
    <w:p w:rsidR="00006754" w:rsidRPr="00805434" w:rsidRDefault="00006754" w:rsidP="00006754">
      <w:pPr>
        <w:pStyle w:val="ListParagraph"/>
        <w:ind w:left="2220"/>
        <w:rPr>
          <w:rFonts w:ascii="Arial" w:hAnsi="Arial" w:cs="Arial"/>
          <w:b/>
          <w:i/>
          <w:sz w:val="20"/>
          <w:szCs w:val="20"/>
          <w:highlight w:val="yellow"/>
        </w:rPr>
      </w:pPr>
    </w:p>
    <w:p w:rsidR="00E878FC" w:rsidRPr="00805434" w:rsidRDefault="00874B22" w:rsidP="00E878FC">
      <w:pPr>
        <w:pStyle w:val="ListParagraph"/>
        <w:numPr>
          <w:ilvl w:val="1"/>
          <w:numId w:val="3"/>
        </w:numPr>
        <w:rPr>
          <w:rFonts w:ascii="Arial" w:hAnsi="Arial" w:cs="Arial"/>
          <w:b/>
          <w:sz w:val="20"/>
          <w:szCs w:val="20"/>
          <w:highlight w:val="yellow"/>
        </w:rPr>
      </w:pPr>
      <w:r w:rsidRPr="00805434">
        <w:rPr>
          <w:rFonts w:ascii="Arial" w:hAnsi="Arial" w:cs="Arial"/>
          <w:b/>
          <w:sz w:val="20"/>
          <w:szCs w:val="20"/>
          <w:highlight w:val="yellow"/>
        </w:rPr>
        <w:t>Early College High School:</w:t>
      </w:r>
      <w:r w:rsidRPr="00805434">
        <w:rPr>
          <w:rFonts w:ascii="Arial" w:hAnsi="Arial" w:cs="Arial"/>
          <w:sz w:val="20"/>
          <w:szCs w:val="20"/>
          <w:highlight w:val="yellow"/>
        </w:rPr>
        <w:t xml:space="preserve">  Early College means students take college courses at local colleges as well as the courses required to earn a high school </w:t>
      </w:r>
      <w:r w:rsidRPr="00805434">
        <w:rPr>
          <w:rFonts w:ascii="Arial" w:hAnsi="Arial" w:cs="Arial"/>
          <w:sz w:val="20"/>
          <w:szCs w:val="20"/>
          <w:highlight w:val="yellow"/>
        </w:rPr>
        <w:lastRenderedPageBreak/>
        <w:t>diploma over a five year period. Early Colleges blend high school and college in a rigorous, yet supportive program, compressing the time it takes to complete a high school diploma and the first two years of college.</w:t>
      </w:r>
      <w:r w:rsidR="00ED0812" w:rsidRPr="00805434">
        <w:rPr>
          <w:rFonts w:ascii="Arial" w:hAnsi="Arial" w:cs="Arial"/>
          <w:sz w:val="20"/>
          <w:szCs w:val="20"/>
          <w:highlight w:val="yellow"/>
        </w:rPr>
        <w:t xml:space="preserve"> </w:t>
      </w:r>
    </w:p>
    <w:p w:rsidR="00E878FC" w:rsidRPr="00805434" w:rsidRDefault="00E878FC" w:rsidP="00E878FC">
      <w:pPr>
        <w:pStyle w:val="ListParagraph"/>
        <w:ind w:left="2220"/>
        <w:rPr>
          <w:rFonts w:ascii="Arial" w:hAnsi="Arial" w:cs="Arial"/>
          <w:b/>
          <w:sz w:val="20"/>
          <w:szCs w:val="20"/>
          <w:highlight w:val="yellow"/>
        </w:rPr>
      </w:pPr>
    </w:p>
    <w:p w:rsidR="00F3746D" w:rsidRPr="00805434" w:rsidRDefault="00A62614" w:rsidP="00E878FC">
      <w:pPr>
        <w:pStyle w:val="ListParagraph"/>
        <w:numPr>
          <w:ilvl w:val="1"/>
          <w:numId w:val="3"/>
        </w:numPr>
        <w:rPr>
          <w:rFonts w:ascii="Arial" w:hAnsi="Arial" w:cs="Arial"/>
          <w:b/>
          <w:sz w:val="20"/>
          <w:szCs w:val="20"/>
          <w:highlight w:val="yellow"/>
        </w:rPr>
      </w:pPr>
      <w:r w:rsidRPr="00805434">
        <w:rPr>
          <w:rFonts w:ascii="Arial" w:hAnsi="Arial" w:cs="Arial"/>
          <w:b/>
          <w:sz w:val="20"/>
          <w:szCs w:val="20"/>
          <w:highlight w:val="yellow"/>
        </w:rPr>
        <w:t>Early High School Graduation:</w:t>
      </w:r>
      <w:r w:rsidR="00EE52C2" w:rsidRPr="00805434">
        <w:rPr>
          <w:rFonts w:ascii="Arial" w:hAnsi="Arial" w:cs="Arial"/>
          <w:sz w:val="20"/>
          <w:szCs w:val="20"/>
          <w:highlight w:val="yellow"/>
        </w:rPr>
        <w:t xml:space="preserve"> Early High School Graduation is the</w:t>
      </w:r>
      <w:r w:rsidRPr="00805434">
        <w:rPr>
          <w:rFonts w:ascii="Arial" w:hAnsi="Arial" w:cs="Arial"/>
          <w:sz w:val="20"/>
          <w:szCs w:val="20"/>
          <w:highlight w:val="yellow"/>
        </w:rPr>
        <w:t xml:space="preserve"> practice of facilitating the completion of the high school program in fewer than four years for the purpose of providing earlier than typical access to post-secondary educational opportunities.</w:t>
      </w:r>
      <w:r w:rsidR="001550A9" w:rsidRPr="00805434">
        <w:rPr>
          <w:rFonts w:ascii="Arial" w:hAnsi="Arial" w:cs="Arial"/>
          <w:sz w:val="20"/>
          <w:szCs w:val="20"/>
          <w:highlight w:val="yellow"/>
        </w:rPr>
        <w:t xml:space="preserve"> </w:t>
      </w:r>
    </w:p>
    <w:p w:rsidR="00F3746D" w:rsidRPr="00805434" w:rsidRDefault="00F3746D" w:rsidP="00F3746D">
      <w:pPr>
        <w:rPr>
          <w:rFonts w:ascii="Arial" w:hAnsi="Arial" w:cs="Arial"/>
          <w:sz w:val="20"/>
          <w:szCs w:val="20"/>
          <w:highlight w:val="yellow"/>
        </w:rPr>
      </w:pPr>
    </w:p>
    <w:p w:rsidR="008B0FAF" w:rsidRDefault="00F3746D" w:rsidP="00F3746D">
      <w:pPr>
        <w:pStyle w:val="ListParagraph"/>
        <w:ind w:left="2220"/>
        <w:rPr>
          <w:rFonts w:ascii="Arial" w:hAnsi="Arial" w:cs="Arial"/>
          <w:sz w:val="20"/>
          <w:szCs w:val="20"/>
          <w:highlight w:val="yellow"/>
        </w:rPr>
      </w:pPr>
      <w:r w:rsidRPr="00805434">
        <w:rPr>
          <w:rFonts w:ascii="Arial" w:hAnsi="Arial" w:cs="Arial"/>
          <w:sz w:val="20"/>
          <w:szCs w:val="20"/>
          <w:highlight w:val="yellow"/>
        </w:rPr>
        <w:t xml:space="preserve">                      </w:t>
      </w:r>
      <w:r w:rsidR="001550A9" w:rsidRPr="00805434">
        <w:rPr>
          <w:rFonts w:ascii="Arial" w:hAnsi="Arial" w:cs="Arial"/>
          <w:sz w:val="20"/>
          <w:szCs w:val="20"/>
          <w:highlight w:val="yellow"/>
        </w:rPr>
        <w:t>References</w:t>
      </w:r>
    </w:p>
    <w:p w:rsidR="00626A71" w:rsidRPr="00805434" w:rsidRDefault="00626A71" w:rsidP="00F3746D">
      <w:pPr>
        <w:pStyle w:val="ListParagraph"/>
        <w:ind w:left="2220"/>
        <w:rPr>
          <w:rFonts w:ascii="Arial" w:hAnsi="Arial" w:cs="Arial"/>
          <w:sz w:val="20"/>
          <w:szCs w:val="20"/>
          <w:highlight w:val="yellow"/>
        </w:rPr>
      </w:pPr>
    </w:p>
    <w:p w:rsidR="00AD22D5" w:rsidRPr="00626A71" w:rsidRDefault="00626A71" w:rsidP="001550A9">
      <w:pPr>
        <w:pStyle w:val="ListParagraph"/>
        <w:rPr>
          <w:rFonts w:ascii="Arial" w:hAnsi="Arial" w:cs="Arial"/>
          <w:sz w:val="20"/>
          <w:szCs w:val="20"/>
          <w:highlight w:val="yellow"/>
        </w:rPr>
      </w:pPr>
      <w:proofErr w:type="spellStart"/>
      <w:proofErr w:type="gramStart"/>
      <w:r>
        <w:rPr>
          <w:rFonts w:ascii="Arial" w:hAnsi="Arial" w:cs="Arial"/>
          <w:sz w:val="20"/>
          <w:szCs w:val="20"/>
          <w:highlight w:val="yellow"/>
        </w:rPr>
        <w:t>Colangelo</w:t>
      </w:r>
      <w:proofErr w:type="spellEnd"/>
      <w:r>
        <w:rPr>
          <w:rFonts w:ascii="Arial" w:hAnsi="Arial" w:cs="Arial"/>
          <w:sz w:val="20"/>
          <w:szCs w:val="20"/>
          <w:highlight w:val="yellow"/>
        </w:rPr>
        <w:t xml:space="preserve">, N., </w:t>
      </w:r>
      <w:proofErr w:type="spellStart"/>
      <w:r>
        <w:rPr>
          <w:rFonts w:ascii="Arial" w:hAnsi="Arial" w:cs="Arial"/>
          <w:sz w:val="20"/>
          <w:szCs w:val="20"/>
          <w:highlight w:val="yellow"/>
        </w:rPr>
        <w:t>Assouline</w:t>
      </w:r>
      <w:proofErr w:type="spellEnd"/>
      <w:r>
        <w:rPr>
          <w:rFonts w:ascii="Arial" w:hAnsi="Arial" w:cs="Arial"/>
          <w:sz w:val="20"/>
          <w:szCs w:val="20"/>
          <w:highlight w:val="yellow"/>
        </w:rPr>
        <w:t>, S., &amp; Gross, M.U.M. (2004).</w:t>
      </w:r>
      <w:proofErr w:type="gramEnd"/>
      <w:r>
        <w:rPr>
          <w:rFonts w:ascii="Arial" w:hAnsi="Arial" w:cs="Arial"/>
          <w:sz w:val="20"/>
          <w:szCs w:val="20"/>
          <w:highlight w:val="yellow"/>
        </w:rPr>
        <w:t xml:space="preserve">  </w:t>
      </w:r>
      <w:r>
        <w:rPr>
          <w:rFonts w:ascii="Arial" w:hAnsi="Arial" w:cs="Arial"/>
          <w:i/>
          <w:sz w:val="20"/>
          <w:szCs w:val="20"/>
          <w:highlight w:val="yellow"/>
        </w:rPr>
        <w:t xml:space="preserve">A nation deceived:  How schools hold back America’s brightest students </w:t>
      </w:r>
      <w:r>
        <w:rPr>
          <w:rFonts w:ascii="Arial" w:hAnsi="Arial" w:cs="Arial"/>
          <w:sz w:val="20"/>
          <w:szCs w:val="20"/>
          <w:highlight w:val="yellow"/>
        </w:rPr>
        <w:t xml:space="preserve">(Vols. 1-2). Iowa City: University of Iowa, The Connie </w:t>
      </w:r>
      <w:proofErr w:type="spellStart"/>
      <w:r>
        <w:rPr>
          <w:rFonts w:ascii="Arial" w:hAnsi="Arial" w:cs="Arial"/>
          <w:sz w:val="20"/>
          <w:szCs w:val="20"/>
          <w:highlight w:val="yellow"/>
        </w:rPr>
        <w:t>Belin</w:t>
      </w:r>
      <w:proofErr w:type="spellEnd"/>
      <w:r>
        <w:rPr>
          <w:rFonts w:ascii="Arial" w:hAnsi="Arial" w:cs="Arial"/>
          <w:sz w:val="20"/>
          <w:szCs w:val="20"/>
          <w:highlight w:val="yellow"/>
        </w:rPr>
        <w:t xml:space="preserve"> and Jacqueline N. Blank International Center for Gifted Education and Talent Development.  </w:t>
      </w:r>
    </w:p>
    <w:p w:rsidR="00AD22D5" w:rsidRDefault="00AD22D5" w:rsidP="001550A9">
      <w:pPr>
        <w:pStyle w:val="ListParagraph"/>
        <w:rPr>
          <w:rFonts w:ascii="Arial" w:hAnsi="Arial" w:cs="Arial"/>
          <w:sz w:val="20"/>
          <w:szCs w:val="20"/>
          <w:highlight w:val="yellow"/>
        </w:rPr>
      </w:pPr>
    </w:p>
    <w:p w:rsidR="001550A9" w:rsidRPr="00626A71" w:rsidRDefault="00E878FC" w:rsidP="001550A9">
      <w:pPr>
        <w:pStyle w:val="ListParagraph"/>
        <w:rPr>
          <w:rFonts w:ascii="Arial" w:hAnsi="Arial" w:cs="Arial"/>
          <w:sz w:val="20"/>
          <w:szCs w:val="20"/>
          <w:highlight w:val="yellow"/>
        </w:rPr>
      </w:pPr>
      <w:proofErr w:type="gramStart"/>
      <w:r w:rsidRPr="00626A71">
        <w:rPr>
          <w:rFonts w:ascii="Arial" w:hAnsi="Arial" w:cs="Arial"/>
          <w:sz w:val="20"/>
          <w:szCs w:val="20"/>
          <w:highlight w:val="yellow"/>
        </w:rPr>
        <w:t>Ohio Department of Education.</w:t>
      </w:r>
      <w:proofErr w:type="gramEnd"/>
      <w:r w:rsidRPr="00626A71">
        <w:rPr>
          <w:rFonts w:ascii="Arial" w:hAnsi="Arial" w:cs="Arial"/>
          <w:sz w:val="20"/>
          <w:szCs w:val="20"/>
          <w:highlight w:val="yellow"/>
        </w:rPr>
        <w:t xml:space="preserve">  (2006)</w:t>
      </w:r>
      <w:proofErr w:type="gramStart"/>
      <w:r w:rsidRPr="00626A71">
        <w:rPr>
          <w:rFonts w:ascii="Arial" w:hAnsi="Arial" w:cs="Arial"/>
          <w:sz w:val="20"/>
          <w:szCs w:val="20"/>
          <w:highlight w:val="yellow"/>
        </w:rPr>
        <w:t xml:space="preserve">.  </w:t>
      </w:r>
      <w:r w:rsidR="001550A9" w:rsidRPr="00626A71">
        <w:rPr>
          <w:rFonts w:ascii="Arial" w:hAnsi="Arial" w:cs="Arial"/>
          <w:i/>
          <w:sz w:val="20"/>
          <w:szCs w:val="20"/>
          <w:highlight w:val="yellow"/>
        </w:rPr>
        <w:t>Model</w:t>
      </w:r>
      <w:proofErr w:type="gramEnd"/>
      <w:r w:rsidR="001550A9" w:rsidRPr="00626A71">
        <w:rPr>
          <w:rFonts w:ascii="Arial" w:hAnsi="Arial" w:cs="Arial"/>
          <w:i/>
          <w:sz w:val="20"/>
          <w:szCs w:val="20"/>
          <w:highlight w:val="yellow"/>
        </w:rPr>
        <w:t xml:space="preserve"> Student Acceleration Policy for Advanced Learners</w:t>
      </w:r>
      <w:r w:rsidRPr="00626A71">
        <w:rPr>
          <w:rFonts w:ascii="Arial" w:hAnsi="Arial" w:cs="Arial"/>
          <w:sz w:val="20"/>
          <w:szCs w:val="20"/>
          <w:highlight w:val="yellow"/>
        </w:rPr>
        <w:t>.  Columbus, Ohio.</w:t>
      </w:r>
    </w:p>
    <w:p w:rsidR="001550A9" w:rsidRPr="00626A71" w:rsidRDefault="001550A9" w:rsidP="001550A9">
      <w:pPr>
        <w:pStyle w:val="ListParagraph"/>
        <w:rPr>
          <w:rFonts w:ascii="Arial" w:hAnsi="Arial" w:cs="Arial"/>
          <w:sz w:val="20"/>
          <w:szCs w:val="20"/>
          <w:highlight w:val="yellow"/>
        </w:rPr>
      </w:pPr>
    </w:p>
    <w:p w:rsidR="001550A9" w:rsidRPr="00626A71" w:rsidRDefault="00E878FC" w:rsidP="001550A9">
      <w:pPr>
        <w:pStyle w:val="ListParagraph"/>
        <w:rPr>
          <w:rFonts w:ascii="Arial" w:hAnsi="Arial" w:cs="Arial"/>
          <w:sz w:val="20"/>
          <w:szCs w:val="20"/>
        </w:rPr>
      </w:pPr>
      <w:r w:rsidRPr="00626A71">
        <w:rPr>
          <w:rFonts w:ascii="Arial" w:hAnsi="Arial" w:cs="Arial"/>
          <w:sz w:val="20"/>
          <w:szCs w:val="20"/>
          <w:highlight w:val="yellow"/>
        </w:rPr>
        <w:t xml:space="preserve">National Work Group on Acceleration.  </w:t>
      </w:r>
      <w:proofErr w:type="gramStart"/>
      <w:r w:rsidRPr="00626A71">
        <w:rPr>
          <w:rFonts w:ascii="Arial" w:hAnsi="Arial" w:cs="Arial"/>
          <w:sz w:val="20"/>
          <w:szCs w:val="20"/>
          <w:highlight w:val="yellow"/>
        </w:rPr>
        <w:t>(2009, November).</w:t>
      </w:r>
      <w:proofErr w:type="gramEnd"/>
      <w:r w:rsidRPr="00626A71">
        <w:rPr>
          <w:rFonts w:ascii="Arial" w:hAnsi="Arial" w:cs="Arial"/>
          <w:sz w:val="20"/>
          <w:szCs w:val="20"/>
          <w:highlight w:val="yellow"/>
        </w:rPr>
        <w:t xml:space="preserve">  </w:t>
      </w:r>
      <w:proofErr w:type="gramStart"/>
      <w:r w:rsidR="001550A9" w:rsidRPr="00626A71">
        <w:rPr>
          <w:rFonts w:ascii="Arial" w:hAnsi="Arial" w:cs="Arial"/>
          <w:i/>
          <w:sz w:val="20"/>
          <w:szCs w:val="20"/>
          <w:highlight w:val="yellow"/>
        </w:rPr>
        <w:t>Guidelines for Developing an Academic Acceleration Policy</w:t>
      </w:r>
      <w:r w:rsidRPr="00626A71">
        <w:rPr>
          <w:rFonts w:ascii="Arial" w:hAnsi="Arial" w:cs="Arial"/>
          <w:sz w:val="20"/>
          <w:szCs w:val="20"/>
          <w:highlight w:val="yellow"/>
        </w:rPr>
        <w:t xml:space="preserve"> by IRPA and NAGC and CSDPG.</w:t>
      </w:r>
      <w:proofErr w:type="gramEnd"/>
    </w:p>
    <w:p w:rsidR="00F47F1A" w:rsidRPr="00805434" w:rsidRDefault="00F47F1A" w:rsidP="001550A9">
      <w:pPr>
        <w:pStyle w:val="ListParagraph"/>
        <w:rPr>
          <w:rFonts w:ascii="Arial" w:hAnsi="Arial" w:cs="Arial"/>
          <w:sz w:val="20"/>
          <w:szCs w:val="20"/>
          <w:highlight w:val="yellow"/>
        </w:rPr>
      </w:pPr>
    </w:p>
    <w:p w:rsidR="00E63B4F" w:rsidRPr="00805434" w:rsidRDefault="00DF53DA" w:rsidP="00E63B4F">
      <w:pPr>
        <w:widowControl w:val="0"/>
        <w:autoSpaceDE w:val="0"/>
        <w:autoSpaceDN w:val="0"/>
        <w:adjustRightInd w:val="0"/>
        <w:spacing w:after="260" w:line="240" w:lineRule="auto"/>
        <w:rPr>
          <w:rFonts w:ascii="Arial" w:hAnsi="Arial" w:cs="Arial"/>
          <w:strike/>
          <w:sz w:val="20"/>
          <w:szCs w:val="20"/>
        </w:rPr>
      </w:pPr>
      <w:r w:rsidRPr="00805434">
        <w:rPr>
          <w:rFonts w:ascii="Arial" w:hAnsi="Arial" w:cs="Arial"/>
          <w:sz w:val="20"/>
          <w:szCs w:val="20"/>
          <w:highlight w:val="yellow"/>
        </w:rPr>
        <w:t xml:space="preserve"> </w:t>
      </w:r>
    </w:p>
    <w:tbl>
      <w:tblPr>
        <w:tblW w:w="0" w:type="auto"/>
        <w:tblBorders>
          <w:top w:val="nil"/>
          <w:left w:val="nil"/>
          <w:right w:val="nil"/>
        </w:tblBorders>
        <w:tblLayout w:type="fixed"/>
        <w:tblLook w:val="0000"/>
      </w:tblPr>
      <w:tblGrid>
        <w:gridCol w:w="12760"/>
      </w:tblGrid>
      <w:tr w:rsidR="00E63B4F" w:rsidRPr="00805434" w:rsidTr="00AD22D5">
        <w:tc>
          <w:tcPr>
            <w:tcW w:w="12760" w:type="dxa"/>
            <w:tcBorders>
              <w:top w:val="single" w:sz="8" w:space="0" w:color="000000"/>
            </w:tcBorders>
            <w:tcMar>
              <w:top w:w="140" w:type="nil"/>
              <w:right w:w="140" w:type="nil"/>
            </w:tcMar>
          </w:tcPr>
          <w:p w:rsidR="00E63B4F" w:rsidRPr="00805434" w:rsidRDefault="00E63B4F" w:rsidP="00AD22D5">
            <w:pPr>
              <w:widowControl w:val="0"/>
              <w:autoSpaceDE w:val="0"/>
              <w:autoSpaceDN w:val="0"/>
              <w:adjustRightInd w:val="0"/>
              <w:spacing w:after="0" w:line="240" w:lineRule="auto"/>
              <w:rPr>
                <w:rFonts w:ascii="Arial" w:hAnsi="Arial" w:cs="Arial"/>
                <w:sz w:val="20"/>
                <w:szCs w:val="20"/>
              </w:rPr>
            </w:pPr>
            <w:r w:rsidRPr="00805434">
              <w:rPr>
                <w:rFonts w:ascii="Arial" w:hAnsi="Arial" w:cs="Arial"/>
                <w:sz w:val="20"/>
                <w:szCs w:val="20"/>
              </w:rPr>
              <w:t>Adopted: November 9, 2010</w:t>
            </w:r>
          </w:p>
        </w:tc>
      </w:tr>
    </w:tbl>
    <w:p w:rsidR="00CB4A3B" w:rsidRPr="00805434" w:rsidRDefault="00E878FC" w:rsidP="00DF53DA">
      <w:pPr>
        <w:spacing w:after="0" w:line="240" w:lineRule="auto"/>
        <w:rPr>
          <w:rFonts w:ascii="Arial" w:hAnsi="Arial" w:cs="Arial"/>
          <w:sz w:val="20"/>
          <w:szCs w:val="20"/>
        </w:rPr>
      </w:pPr>
      <w:r w:rsidRPr="00805434">
        <w:rPr>
          <w:rFonts w:ascii="Arial" w:hAnsi="Arial" w:cs="Arial"/>
          <w:sz w:val="20"/>
          <w:szCs w:val="20"/>
          <w:highlight w:val="yellow"/>
        </w:rPr>
        <w:t>Revised: September 23</w:t>
      </w:r>
      <w:r w:rsidR="00E63B4F" w:rsidRPr="00805434">
        <w:rPr>
          <w:rFonts w:ascii="Arial" w:hAnsi="Arial" w:cs="Arial"/>
          <w:sz w:val="20"/>
          <w:szCs w:val="20"/>
          <w:highlight w:val="yellow"/>
        </w:rPr>
        <w:t>, 2013</w:t>
      </w:r>
    </w:p>
    <w:p w:rsidR="00B46F4C" w:rsidRPr="00F70583" w:rsidRDefault="00B46F4C" w:rsidP="00DF53DA">
      <w:pPr>
        <w:spacing w:after="0" w:line="240" w:lineRule="auto"/>
        <w:rPr>
          <w:rFonts w:ascii="Arial" w:hAnsi="Arial" w:cs="Arial"/>
          <w:color w:val="008000"/>
          <w:sz w:val="28"/>
          <w:szCs w:val="28"/>
        </w:rPr>
      </w:pPr>
    </w:p>
    <w:sectPr w:rsidR="00B46F4C" w:rsidRPr="00F70583" w:rsidSect="00CE356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71" w:rsidRDefault="00A02671" w:rsidP="00CE66B6">
      <w:pPr>
        <w:spacing w:after="0" w:line="240" w:lineRule="auto"/>
      </w:pPr>
      <w:r>
        <w:separator/>
      </w:r>
    </w:p>
  </w:endnote>
  <w:endnote w:type="continuationSeparator" w:id="0">
    <w:p w:rsidR="00A02671" w:rsidRDefault="00A02671" w:rsidP="00CE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71" w:rsidRDefault="00A02671" w:rsidP="00CE66B6">
      <w:pPr>
        <w:spacing w:after="0" w:line="240" w:lineRule="auto"/>
      </w:pPr>
      <w:r>
        <w:separator/>
      </w:r>
    </w:p>
  </w:footnote>
  <w:footnote w:type="continuationSeparator" w:id="0">
    <w:p w:rsidR="00A02671" w:rsidRDefault="00A02671" w:rsidP="00CE6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D5" w:rsidRPr="00071B4F" w:rsidRDefault="002A2DD4">
    <w:pPr>
      <w:pStyle w:val="Header"/>
      <w:rPr>
        <w:b/>
        <w:sz w:val="32"/>
        <w:szCs w:val="32"/>
      </w:rPr>
    </w:pPr>
    <w:sdt>
      <w:sdtPr>
        <w:rPr>
          <w:b/>
          <w:sz w:val="32"/>
          <w:szCs w:val="32"/>
        </w:rPr>
        <w:id w:val="27410626"/>
        <w:docPartObj>
          <w:docPartGallery w:val="Watermarks"/>
          <w:docPartUnique/>
        </w:docPartObj>
      </w:sdtPr>
      <w:sdtContent>
        <w:r>
          <w:rPr>
            <w:b/>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D22D5" w:rsidRPr="00071B4F">
      <w:rPr>
        <w:b/>
        <w:sz w:val="32"/>
        <w:szCs w:val="32"/>
      </w:rPr>
      <w:t>5532</w:t>
    </w:r>
    <w:r w:rsidR="00AD22D5" w:rsidRPr="00071B4F">
      <w:rPr>
        <w:b/>
        <w:sz w:val="32"/>
        <w:szCs w:val="32"/>
      </w:rPr>
      <w:ptab w:relativeTo="margin" w:alignment="center" w:leader="none"/>
    </w:r>
    <w:r w:rsidR="00AD22D5" w:rsidRPr="00071B4F">
      <w:rPr>
        <w:b/>
        <w:sz w:val="32"/>
        <w:szCs w:val="32"/>
      </w:rPr>
      <w:t>ACCELERATION AND ACADEMIC ADVANCEMENT</w:t>
    </w:r>
    <w:r w:rsidR="00AD22D5" w:rsidRPr="00071B4F">
      <w:rPr>
        <w:b/>
        <w:sz w:val="32"/>
        <w:szCs w:val="32"/>
      </w:rPr>
      <w:ptab w:relativeTo="margin" w:alignment="right" w:leader="none"/>
    </w:r>
    <w:r w:rsidR="00AD22D5" w:rsidRPr="00071B4F">
      <w:rPr>
        <w:b/>
        <w:sz w:val="32"/>
        <w:szCs w:val="32"/>
      </w:rPr>
      <w:t>5532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9E6489"/>
    <w:multiLevelType w:val="hybridMultilevel"/>
    <w:tmpl w:val="A5A6504C"/>
    <w:lvl w:ilvl="0" w:tplc="0409000F">
      <w:start w:val="1"/>
      <w:numFmt w:val="decimal"/>
      <w:lvlText w:val="%1."/>
      <w:lvlJc w:val="left"/>
      <w:pPr>
        <w:ind w:left="1500" w:hanging="360"/>
      </w:pPr>
    </w:lvl>
    <w:lvl w:ilvl="1" w:tplc="F5FAF98C">
      <w:start w:val="1"/>
      <w:numFmt w:val="lowerLetter"/>
      <w:lvlText w:val="%2."/>
      <w:lvlJc w:val="left"/>
      <w:pPr>
        <w:ind w:left="2220" w:hanging="360"/>
      </w:pPr>
      <w:rPr>
        <w:b/>
        <w:i w:val="0"/>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6CC22C9"/>
    <w:multiLevelType w:val="hybridMultilevel"/>
    <w:tmpl w:val="68864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6103F"/>
    <w:multiLevelType w:val="hybridMultilevel"/>
    <w:tmpl w:val="52A605A4"/>
    <w:lvl w:ilvl="0" w:tplc="EB4C50A2">
      <w:start w:val="2"/>
      <w:numFmt w:val="upperLetter"/>
      <w:lvlText w:val="%1."/>
      <w:lvlJc w:val="left"/>
      <w:pPr>
        <w:ind w:left="81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0500B"/>
    <w:multiLevelType w:val="hybridMultilevel"/>
    <w:tmpl w:val="C8702A22"/>
    <w:lvl w:ilvl="0" w:tplc="04090015">
      <w:start w:val="1"/>
      <w:numFmt w:val="upperLetter"/>
      <w:lvlText w:val="%1."/>
      <w:lvlJc w:val="left"/>
      <w:pPr>
        <w:ind w:left="81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E66B6"/>
    <w:rsid w:val="00006754"/>
    <w:rsid w:val="000252A9"/>
    <w:rsid w:val="00033719"/>
    <w:rsid w:val="000347DE"/>
    <w:rsid w:val="00041269"/>
    <w:rsid w:val="000538BE"/>
    <w:rsid w:val="00071B4F"/>
    <w:rsid w:val="000748FE"/>
    <w:rsid w:val="000827AB"/>
    <w:rsid w:val="000E4FED"/>
    <w:rsid w:val="001015AE"/>
    <w:rsid w:val="0011298C"/>
    <w:rsid w:val="001248C9"/>
    <w:rsid w:val="00130F4D"/>
    <w:rsid w:val="00137725"/>
    <w:rsid w:val="00141FC2"/>
    <w:rsid w:val="001550A9"/>
    <w:rsid w:val="00172571"/>
    <w:rsid w:val="0019455A"/>
    <w:rsid w:val="00195B4F"/>
    <w:rsid w:val="00195DE9"/>
    <w:rsid w:val="001A674F"/>
    <w:rsid w:val="001C6FDA"/>
    <w:rsid w:val="001D16FF"/>
    <w:rsid w:val="00251293"/>
    <w:rsid w:val="002609FD"/>
    <w:rsid w:val="00262206"/>
    <w:rsid w:val="0029547F"/>
    <w:rsid w:val="002A2DD4"/>
    <w:rsid w:val="002B3A2B"/>
    <w:rsid w:val="002B5A24"/>
    <w:rsid w:val="002E65E2"/>
    <w:rsid w:val="003433E7"/>
    <w:rsid w:val="003556E9"/>
    <w:rsid w:val="0037410A"/>
    <w:rsid w:val="003C466B"/>
    <w:rsid w:val="003E4F1D"/>
    <w:rsid w:val="00412739"/>
    <w:rsid w:val="00414A09"/>
    <w:rsid w:val="00482EE3"/>
    <w:rsid w:val="004A6E5B"/>
    <w:rsid w:val="004E4EA2"/>
    <w:rsid w:val="004F182D"/>
    <w:rsid w:val="004F2DB8"/>
    <w:rsid w:val="00525CEB"/>
    <w:rsid w:val="005574C4"/>
    <w:rsid w:val="005A31F6"/>
    <w:rsid w:val="005D408F"/>
    <w:rsid w:val="00602AD9"/>
    <w:rsid w:val="00626A71"/>
    <w:rsid w:val="0065083B"/>
    <w:rsid w:val="006653F3"/>
    <w:rsid w:val="00665DE0"/>
    <w:rsid w:val="006809D8"/>
    <w:rsid w:val="0068134F"/>
    <w:rsid w:val="00694C7C"/>
    <w:rsid w:val="006A7077"/>
    <w:rsid w:val="006C78F3"/>
    <w:rsid w:val="006D4E0B"/>
    <w:rsid w:val="006E5C8C"/>
    <w:rsid w:val="006F674A"/>
    <w:rsid w:val="007049F2"/>
    <w:rsid w:val="00725602"/>
    <w:rsid w:val="00731616"/>
    <w:rsid w:val="00752381"/>
    <w:rsid w:val="007A0868"/>
    <w:rsid w:val="007A7115"/>
    <w:rsid w:val="007C26ED"/>
    <w:rsid w:val="007D002B"/>
    <w:rsid w:val="007E084B"/>
    <w:rsid w:val="007F396D"/>
    <w:rsid w:val="00805434"/>
    <w:rsid w:val="00834CDA"/>
    <w:rsid w:val="00852FCF"/>
    <w:rsid w:val="008545C4"/>
    <w:rsid w:val="00871DE6"/>
    <w:rsid w:val="00874B22"/>
    <w:rsid w:val="008750C9"/>
    <w:rsid w:val="008910E9"/>
    <w:rsid w:val="008B0FAF"/>
    <w:rsid w:val="008D16E7"/>
    <w:rsid w:val="00905B82"/>
    <w:rsid w:val="00923D4A"/>
    <w:rsid w:val="009425D6"/>
    <w:rsid w:val="00963CCC"/>
    <w:rsid w:val="00965159"/>
    <w:rsid w:val="00973979"/>
    <w:rsid w:val="009B2F73"/>
    <w:rsid w:val="009C6F51"/>
    <w:rsid w:val="009D4AAE"/>
    <w:rsid w:val="00A02671"/>
    <w:rsid w:val="00A3552B"/>
    <w:rsid w:val="00A53719"/>
    <w:rsid w:val="00A62614"/>
    <w:rsid w:val="00A8073C"/>
    <w:rsid w:val="00A85E43"/>
    <w:rsid w:val="00A92E61"/>
    <w:rsid w:val="00A9462E"/>
    <w:rsid w:val="00AA5584"/>
    <w:rsid w:val="00AD22D5"/>
    <w:rsid w:val="00B0039B"/>
    <w:rsid w:val="00B414C2"/>
    <w:rsid w:val="00B46F4C"/>
    <w:rsid w:val="00B70BD8"/>
    <w:rsid w:val="00B7682E"/>
    <w:rsid w:val="00B804FF"/>
    <w:rsid w:val="00BC5512"/>
    <w:rsid w:val="00C010F6"/>
    <w:rsid w:val="00C22BA1"/>
    <w:rsid w:val="00C25ABA"/>
    <w:rsid w:val="00C66463"/>
    <w:rsid w:val="00C81E16"/>
    <w:rsid w:val="00C83FA2"/>
    <w:rsid w:val="00C87AAC"/>
    <w:rsid w:val="00C90B98"/>
    <w:rsid w:val="00CA5249"/>
    <w:rsid w:val="00CA717D"/>
    <w:rsid w:val="00CB4A3B"/>
    <w:rsid w:val="00CC2F91"/>
    <w:rsid w:val="00CE356F"/>
    <w:rsid w:val="00CE66B6"/>
    <w:rsid w:val="00D77307"/>
    <w:rsid w:val="00DB10CB"/>
    <w:rsid w:val="00DE0359"/>
    <w:rsid w:val="00DE4E32"/>
    <w:rsid w:val="00DE63E6"/>
    <w:rsid w:val="00DF53DA"/>
    <w:rsid w:val="00E61117"/>
    <w:rsid w:val="00E63B4F"/>
    <w:rsid w:val="00E676C9"/>
    <w:rsid w:val="00E80DF0"/>
    <w:rsid w:val="00E878FC"/>
    <w:rsid w:val="00ED0812"/>
    <w:rsid w:val="00ED5DF6"/>
    <w:rsid w:val="00ED77D1"/>
    <w:rsid w:val="00ED79BE"/>
    <w:rsid w:val="00EE52C2"/>
    <w:rsid w:val="00F17E9A"/>
    <w:rsid w:val="00F25839"/>
    <w:rsid w:val="00F35CBA"/>
    <w:rsid w:val="00F3746D"/>
    <w:rsid w:val="00F47F1A"/>
    <w:rsid w:val="00F526A0"/>
    <w:rsid w:val="00F63745"/>
    <w:rsid w:val="00F70583"/>
    <w:rsid w:val="00F81E82"/>
    <w:rsid w:val="00FB2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B6"/>
  </w:style>
  <w:style w:type="paragraph" w:styleId="Footer">
    <w:name w:val="footer"/>
    <w:basedOn w:val="Normal"/>
    <w:link w:val="FooterChar"/>
    <w:uiPriority w:val="99"/>
    <w:unhideWhenUsed/>
    <w:rsid w:val="00CE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B6"/>
  </w:style>
  <w:style w:type="paragraph" w:styleId="BalloonText">
    <w:name w:val="Balloon Text"/>
    <w:basedOn w:val="Normal"/>
    <w:link w:val="BalloonTextChar"/>
    <w:uiPriority w:val="99"/>
    <w:semiHidden/>
    <w:unhideWhenUsed/>
    <w:rsid w:val="00CE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B6"/>
    <w:rPr>
      <w:rFonts w:ascii="Tahoma" w:hAnsi="Tahoma" w:cs="Tahoma"/>
      <w:sz w:val="16"/>
      <w:szCs w:val="16"/>
    </w:rPr>
  </w:style>
  <w:style w:type="paragraph" w:styleId="ListParagraph">
    <w:name w:val="List Paragraph"/>
    <w:basedOn w:val="Normal"/>
    <w:uiPriority w:val="34"/>
    <w:qFormat/>
    <w:rsid w:val="00CE66B6"/>
    <w:pPr>
      <w:ind w:left="720"/>
      <w:contextualSpacing/>
    </w:pPr>
  </w:style>
  <w:style w:type="character" w:styleId="CommentReference">
    <w:name w:val="annotation reference"/>
    <w:basedOn w:val="DefaultParagraphFont"/>
    <w:uiPriority w:val="99"/>
    <w:semiHidden/>
    <w:unhideWhenUsed/>
    <w:rsid w:val="00F35CBA"/>
    <w:rPr>
      <w:sz w:val="16"/>
      <w:szCs w:val="16"/>
    </w:rPr>
  </w:style>
  <w:style w:type="paragraph" w:styleId="CommentText">
    <w:name w:val="annotation text"/>
    <w:basedOn w:val="Normal"/>
    <w:link w:val="CommentTextChar"/>
    <w:uiPriority w:val="99"/>
    <w:semiHidden/>
    <w:unhideWhenUsed/>
    <w:rsid w:val="00F35CBA"/>
    <w:pPr>
      <w:spacing w:line="240" w:lineRule="auto"/>
    </w:pPr>
    <w:rPr>
      <w:sz w:val="20"/>
      <w:szCs w:val="20"/>
    </w:rPr>
  </w:style>
  <w:style w:type="character" w:customStyle="1" w:styleId="CommentTextChar">
    <w:name w:val="Comment Text Char"/>
    <w:basedOn w:val="DefaultParagraphFont"/>
    <w:link w:val="CommentText"/>
    <w:uiPriority w:val="99"/>
    <w:semiHidden/>
    <w:rsid w:val="00F35CBA"/>
    <w:rPr>
      <w:sz w:val="20"/>
      <w:szCs w:val="20"/>
    </w:rPr>
  </w:style>
  <w:style w:type="paragraph" w:styleId="CommentSubject">
    <w:name w:val="annotation subject"/>
    <w:basedOn w:val="CommentText"/>
    <w:next w:val="CommentText"/>
    <w:link w:val="CommentSubjectChar"/>
    <w:uiPriority w:val="99"/>
    <w:semiHidden/>
    <w:unhideWhenUsed/>
    <w:rsid w:val="00F35CBA"/>
    <w:rPr>
      <w:b/>
      <w:bCs/>
    </w:rPr>
  </w:style>
  <w:style w:type="character" w:customStyle="1" w:styleId="CommentSubjectChar">
    <w:name w:val="Comment Subject Char"/>
    <w:basedOn w:val="CommentTextChar"/>
    <w:link w:val="CommentSubject"/>
    <w:uiPriority w:val="99"/>
    <w:semiHidden/>
    <w:rsid w:val="00F35CB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B6"/>
  </w:style>
  <w:style w:type="paragraph" w:styleId="Footer">
    <w:name w:val="footer"/>
    <w:basedOn w:val="Normal"/>
    <w:link w:val="FooterChar"/>
    <w:uiPriority w:val="99"/>
    <w:unhideWhenUsed/>
    <w:rsid w:val="00CE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B6"/>
  </w:style>
  <w:style w:type="paragraph" w:styleId="BalloonText">
    <w:name w:val="Balloon Text"/>
    <w:basedOn w:val="Normal"/>
    <w:link w:val="BalloonTextChar"/>
    <w:uiPriority w:val="99"/>
    <w:semiHidden/>
    <w:unhideWhenUsed/>
    <w:rsid w:val="00CE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B6"/>
    <w:rPr>
      <w:rFonts w:ascii="Tahoma" w:hAnsi="Tahoma" w:cs="Tahoma"/>
      <w:sz w:val="16"/>
      <w:szCs w:val="16"/>
    </w:rPr>
  </w:style>
  <w:style w:type="paragraph" w:styleId="ListParagraph">
    <w:name w:val="List Paragraph"/>
    <w:basedOn w:val="Normal"/>
    <w:uiPriority w:val="34"/>
    <w:qFormat/>
    <w:rsid w:val="00CE66B6"/>
    <w:pPr>
      <w:ind w:left="720"/>
      <w:contextualSpacing/>
    </w:pPr>
  </w:style>
  <w:style w:type="character" w:styleId="CommentReference">
    <w:name w:val="annotation reference"/>
    <w:basedOn w:val="DefaultParagraphFont"/>
    <w:uiPriority w:val="99"/>
    <w:semiHidden/>
    <w:unhideWhenUsed/>
    <w:rsid w:val="00F35CBA"/>
    <w:rPr>
      <w:sz w:val="16"/>
      <w:szCs w:val="16"/>
    </w:rPr>
  </w:style>
  <w:style w:type="paragraph" w:styleId="CommentText">
    <w:name w:val="annotation text"/>
    <w:basedOn w:val="Normal"/>
    <w:link w:val="CommentTextChar"/>
    <w:uiPriority w:val="99"/>
    <w:semiHidden/>
    <w:unhideWhenUsed/>
    <w:rsid w:val="00F35CBA"/>
    <w:pPr>
      <w:spacing w:line="240" w:lineRule="auto"/>
    </w:pPr>
    <w:rPr>
      <w:sz w:val="20"/>
      <w:szCs w:val="20"/>
    </w:rPr>
  </w:style>
  <w:style w:type="character" w:customStyle="1" w:styleId="CommentTextChar">
    <w:name w:val="Comment Text Char"/>
    <w:basedOn w:val="DefaultParagraphFont"/>
    <w:link w:val="CommentText"/>
    <w:uiPriority w:val="99"/>
    <w:semiHidden/>
    <w:rsid w:val="00F35CBA"/>
    <w:rPr>
      <w:sz w:val="20"/>
      <w:szCs w:val="20"/>
    </w:rPr>
  </w:style>
  <w:style w:type="paragraph" w:styleId="CommentSubject">
    <w:name w:val="annotation subject"/>
    <w:basedOn w:val="CommentText"/>
    <w:next w:val="CommentText"/>
    <w:link w:val="CommentSubjectChar"/>
    <w:uiPriority w:val="99"/>
    <w:semiHidden/>
    <w:unhideWhenUsed/>
    <w:rsid w:val="00F35CBA"/>
    <w:rPr>
      <w:b/>
      <w:bCs/>
    </w:rPr>
  </w:style>
  <w:style w:type="character" w:customStyle="1" w:styleId="CommentSubjectChar">
    <w:name w:val="Comment Subject Char"/>
    <w:basedOn w:val="CommentTextChar"/>
    <w:link w:val="CommentSubject"/>
    <w:uiPriority w:val="99"/>
    <w:semiHidden/>
    <w:rsid w:val="00F35CB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027AA7-323E-43D5-B5B2-38AC4719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Melba Spivey</dc:creator>
  <cp:lastModifiedBy>mrallen</cp:lastModifiedBy>
  <cp:revision>2</cp:revision>
  <cp:lastPrinted>2013-10-28T14:50:00Z</cp:lastPrinted>
  <dcterms:created xsi:type="dcterms:W3CDTF">2013-10-28T14:50:00Z</dcterms:created>
  <dcterms:modified xsi:type="dcterms:W3CDTF">2013-10-28T14:50:00Z</dcterms:modified>
</cp:coreProperties>
</file>